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/>
          <w:bCs/>
          <w:sz w:val="40"/>
          <w:szCs w:val="40"/>
        </w:rPr>
      </w:pPr>
      <w:r>
        <w:rPr>
          <w:rFonts w:hint="eastAsia" w:ascii="方正小标宋_GBK" w:hAnsi="宋体" w:eastAsia="方正小标宋_GBK"/>
          <w:bCs/>
          <w:sz w:val="40"/>
          <w:szCs w:val="40"/>
        </w:rPr>
        <w:t>202</w:t>
      </w:r>
      <w:r>
        <w:rPr>
          <w:rFonts w:hint="eastAsia" w:ascii="方正小标宋_GBK" w:hAnsi="宋体" w:eastAsia="方正小标宋_GBK"/>
          <w:bCs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/>
          <w:bCs/>
          <w:sz w:val="40"/>
          <w:szCs w:val="40"/>
        </w:rPr>
        <w:t>年</w:t>
      </w:r>
      <w:bookmarkStart w:id="0" w:name="_GoBack"/>
      <w:bookmarkEnd w:id="0"/>
      <w:r>
        <w:rPr>
          <w:rFonts w:hint="eastAsia" w:ascii="方正小标宋_GBK" w:hAnsi="宋体" w:eastAsia="方正小标宋_GBK"/>
          <w:bCs/>
          <w:sz w:val="40"/>
          <w:szCs w:val="40"/>
          <w:lang w:eastAsia="zh-CN"/>
        </w:rPr>
        <w:t>施甸县县直医疗卫生单位公开选调专业技术人员</w:t>
      </w:r>
      <w:r>
        <w:rPr>
          <w:rFonts w:hint="eastAsia" w:ascii="方正小标宋_GBK" w:hAnsi="宋体" w:eastAsia="方正小标宋_GBK"/>
          <w:bCs/>
          <w:sz w:val="40"/>
          <w:szCs w:val="40"/>
        </w:rPr>
        <w:t>经历业绩评价参考体系</w:t>
      </w:r>
    </w:p>
    <w:tbl>
      <w:tblPr>
        <w:tblStyle w:val="6"/>
        <w:tblpPr w:leftFromText="180" w:rightFromText="180" w:vertAnchor="text" w:horzAnchor="page" w:tblpX="865" w:tblpY="571"/>
        <w:tblOverlap w:val="never"/>
        <w:tblW w:w="151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32"/>
        <w:gridCol w:w="768"/>
        <w:gridCol w:w="7200"/>
        <w:gridCol w:w="4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评价要素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分值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赋分标准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学习教育</w:t>
            </w:r>
            <w:r>
              <w:rPr>
                <w:rFonts w:eastAsia="方正楷体_GBK"/>
                <w:kern w:val="0"/>
                <w:sz w:val="20"/>
                <w:szCs w:val="20"/>
              </w:rPr>
              <w:t>经历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取得国家承认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eastAsia="方正楷体_GBK"/>
                <w:kern w:val="0"/>
                <w:sz w:val="20"/>
                <w:szCs w:val="20"/>
              </w:rPr>
              <w:t>研究生及以上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或硕士学位</w:t>
            </w:r>
            <w:r>
              <w:rPr>
                <w:rFonts w:eastAsia="方正楷体_GBK"/>
                <w:kern w:val="0"/>
                <w:sz w:val="20"/>
                <w:szCs w:val="20"/>
              </w:rPr>
              <w:t>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eastAsia="方正楷体_GBK"/>
                <w:kern w:val="0"/>
                <w:sz w:val="20"/>
                <w:szCs w:val="20"/>
              </w:rPr>
              <w:t>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eastAsia="方正楷体_GBK"/>
                <w:kern w:val="0"/>
                <w:sz w:val="20"/>
                <w:szCs w:val="20"/>
              </w:rPr>
              <w:t>取得国家承认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的全日制本科</w:t>
            </w:r>
            <w:r>
              <w:rPr>
                <w:rFonts w:eastAsia="方正楷体_GBK"/>
                <w:kern w:val="0"/>
                <w:sz w:val="20"/>
                <w:szCs w:val="20"/>
              </w:rPr>
              <w:t>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学历教育以最高层次计算，不累加。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专业进修、学习经历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到省级医院进修学习的得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10分；到市级医院进修学习的得5分；到县级医院进修学习的得2分。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进修学习连续时长满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3个月及以上的计分，不满3个月的不计分。多次进修可以</w:t>
            </w:r>
            <w:r>
              <w:rPr>
                <w:rFonts w:eastAsia="方正楷体_GBK"/>
                <w:kern w:val="0"/>
                <w:sz w:val="20"/>
                <w:szCs w:val="20"/>
              </w:rPr>
              <w:t>累加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计算得分，最高不超过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年度考核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年度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至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2022年度</w:t>
            </w:r>
            <w:r>
              <w:rPr>
                <w:rFonts w:eastAsia="方正楷体_GBK"/>
                <w:kern w:val="0"/>
                <w:sz w:val="20"/>
                <w:szCs w:val="20"/>
              </w:rPr>
              <w:t>考核每一次称职得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楷体_GBK"/>
                <w:kern w:val="0"/>
                <w:sz w:val="20"/>
                <w:szCs w:val="20"/>
              </w:rPr>
              <w:t>分，每一次优秀得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工作业绩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根据应试人员的门诊诊疗人次和住院收治人次核算工作量</w:t>
            </w:r>
            <w:r>
              <w:rPr>
                <w:rFonts w:hint="eastAsia" w:eastAsia="方正楷体_GBK"/>
                <w:color w:val="auto"/>
                <w:kern w:val="0"/>
                <w:sz w:val="20"/>
                <w:szCs w:val="20"/>
                <w:lang w:eastAsia="zh-CN"/>
              </w:rPr>
              <w:t>评分，门诊和住院工作量各占</w:t>
            </w:r>
            <w:r>
              <w:rPr>
                <w:rFonts w:hint="eastAsia" w:eastAsia="方正楷体_GBK"/>
                <w:color w:val="auto"/>
                <w:kern w:val="0"/>
                <w:sz w:val="20"/>
                <w:szCs w:val="20"/>
                <w:lang w:val="en-US" w:eastAsia="zh-CN"/>
              </w:rPr>
              <w:t>10分。具体核算方法为：用个人的工作量除以同一岗位人员的工作量平均值再乘以5，超过10分者按10分计。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提供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2022年1月1日至2022年12月31日的工作量证明材料：门诊诊疗人次统计表和住院收治患者花名册，经所在单位主要领导审核签字并加盖单位公章。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表彰奖励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获县（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市、</w:t>
            </w:r>
            <w:r>
              <w:rPr>
                <w:rFonts w:eastAsia="方正楷体_GBK"/>
                <w:kern w:val="0"/>
                <w:sz w:val="20"/>
                <w:szCs w:val="20"/>
              </w:rPr>
              <w:t>区）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党委、政府</w:t>
            </w:r>
            <w:r>
              <w:rPr>
                <w:rFonts w:eastAsia="方正楷体_GBK"/>
                <w:kern w:val="0"/>
                <w:sz w:val="20"/>
                <w:szCs w:val="20"/>
              </w:rPr>
              <w:t>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楷体_GBK"/>
                <w:kern w:val="0"/>
                <w:sz w:val="20"/>
                <w:szCs w:val="20"/>
              </w:rPr>
              <w:t>分；获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省直部门及市委、市政府</w:t>
            </w:r>
            <w:r>
              <w:rPr>
                <w:rFonts w:eastAsia="方正楷体_GBK"/>
                <w:kern w:val="0"/>
                <w:sz w:val="20"/>
                <w:szCs w:val="20"/>
              </w:rPr>
              <w:t>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eastAsia="方正楷体_GBK"/>
                <w:kern w:val="0"/>
                <w:sz w:val="20"/>
                <w:szCs w:val="20"/>
              </w:rPr>
              <w:t>分；获</w:t>
            </w:r>
            <w:r>
              <w:rPr>
                <w:rFonts w:hint="eastAsia" w:eastAsia="方正楷体_GBK"/>
                <w:kern w:val="0"/>
                <w:sz w:val="20"/>
                <w:szCs w:val="20"/>
              </w:rPr>
              <w:t>国家部委及</w:t>
            </w:r>
            <w:r>
              <w:rPr>
                <w:rFonts w:eastAsia="方正楷体_GBK"/>
                <w:kern w:val="0"/>
                <w:sz w:val="20"/>
                <w:szCs w:val="20"/>
              </w:rPr>
              <w:t>省委、省政府表彰的每项得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eastAsia="方正楷体_GBK"/>
                <w:kern w:val="0"/>
                <w:sz w:val="20"/>
                <w:szCs w:val="20"/>
              </w:rPr>
              <w:t>分。最高得10分。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不包括受集体表彰情况。个人因同一原因获得不同层次表彰的，只按最高层次赋分一次。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  <w:r>
              <w:rPr>
                <w:rFonts w:eastAsia="方正楷体_GBK"/>
                <w:kern w:val="0"/>
                <w:sz w:val="20"/>
                <w:szCs w:val="20"/>
              </w:rPr>
              <w:t>岗位匹配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取得主治医师（国家级）的得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5分；取得副主任医师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（国家级）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及以上</w:t>
            </w: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的得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10分；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从事专业工作年限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方正楷体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楷体_GBK"/>
                <w:kern w:val="0"/>
                <w:sz w:val="20"/>
                <w:szCs w:val="20"/>
                <w:lang w:eastAsia="zh-CN"/>
              </w:rPr>
              <w:t>取得医师执业证书后，从事本专业医疗执业活动</w:t>
            </w:r>
            <w:r>
              <w:rPr>
                <w:rFonts w:hint="eastAsia" w:eastAsia="方正楷体_GBK"/>
                <w:kern w:val="0"/>
                <w:sz w:val="20"/>
                <w:szCs w:val="20"/>
                <w:lang w:val="en-US" w:eastAsia="zh-CN"/>
              </w:rPr>
              <w:t>1年以下不得分，1年及以上3年以下得5分，3年及以上5年以下得10分，5年及以上10年以下得15分，10年及以上得20分。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left"/>
              <w:textAlignment w:val="auto"/>
              <w:rPr>
                <w:rFonts w:eastAsia="方正楷体_GBK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方正小标宋_GBK" w:hAnsi="宋体" w:eastAsia="方正小标宋_GBK"/>
          <w:bCs/>
          <w:sz w:val="24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1191" w:bottom="124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82"/>
    <w:rsid w:val="00076EEE"/>
    <w:rsid w:val="000822F8"/>
    <w:rsid w:val="000B0D12"/>
    <w:rsid w:val="000B57B7"/>
    <w:rsid w:val="00130EBD"/>
    <w:rsid w:val="00166246"/>
    <w:rsid w:val="001703F3"/>
    <w:rsid w:val="00186904"/>
    <w:rsid w:val="001C4C3B"/>
    <w:rsid w:val="001F190B"/>
    <w:rsid w:val="002043E3"/>
    <w:rsid w:val="00326B56"/>
    <w:rsid w:val="003941E2"/>
    <w:rsid w:val="003968C7"/>
    <w:rsid w:val="003D06FE"/>
    <w:rsid w:val="00434835"/>
    <w:rsid w:val="00471ABF"/>
    <w:rsid w:val="00503826"/>
    <w:rsid w:val="00584A63"/>
    <w:rsid w:val="0059532B"/>
    <w:rsid w:val="005C2379"/>
    <w:rsid w:val="005D21B6"/>
    <w:rsid w:val="00612C32"/>
    <w:rsid w:val="00631A41"/>
    <w:rsid w:val="006A3932"/>
    <w:rsid w:val="006A3C74"/>
    <w:rsid w:val="006B7134"/>
    <w:rsid w:val="006F445E"/>
    <w:rsid w:val="00721B72"/>
    <w:rsid w:val="00721FE8"/>
    <w:rsid w:val="007D6E26"/>
    <w:rsid w:val="008076D7"/>
    <w:rsid w:val="00813606"/>
    <w:rsid w:val="008414DC"/>
    <w:rsid w:val="00882424"/>
    <w:rsid w:val="00932994"/>
    <w:rsid w:val="00AB3090"/>
    <w:rsid w:val="00B540D1"/>
    <w:rsid w:val="00B77F32"/>
    <w:rsid w:val="00BA6D81"/>
    <w:rsid w:val="00C16283"/>
    <w:rsid w:val="00C27729"/>
    <w:rsid w:val="00C44872"/>
    <w:rsid w:val="00C44C63"/>
    <w:rsid w:val="00C65A3A"/>
    <w:rsid w:val="00CE2E82"/>
    <w:rsid w:val="00D157D0"/>
    <w:rsid w:val="00D26D04"/>
    <w:rsid w:val="00DB0414"/>
    <w:rsid w:val="00EA29FC"/>
    <w:rsid w:val="00F10E35"/>
    <w:rsid w:val="00F172BA"/>
    <w:rsid w:val="00F362B9"/>
    <w:rsid w:val="00F56E0E"/>
    <w:rsid w:val="041F1C11"/>
    <w:rsid w:val="076B477D"/>
    <w:rsid w:val="08FB219C"/>
    <w:rsid w:val="09F240B9"/>
    <w:rsid w:val="0C2A4754"/>
    <w:rsid w:val="149E7CA3"/>
    <w:rsid w:val="17AB0076"/>
    <w:rsid w:val="18D752F5"/>
    <w:rsid w:val="19ED27F7"/>
    <w:rsid w:val="1CF67A06"/>
    <w:rsid w:val="1E430959"/>
    <w:rsid w:val="1FB66FE8"/>
    <w:rsid w:val="2253561E"/>
    <w:rsid w:val="22CD67B8"/>
    <w:rsid w:val="23F5197F"/>
    <w:rsid w:val="28130ED5"/>
    <w:rsid w:val="289C3500"/>
    <w:rsid w:val="295725BC"/>
    <w:rsid w:val="296077C7"/>
    <w:rsid w:val="2A6412A5"/>
    <w:rsid w:val="2A8D2B0B"/>
    <w:rsid w:val="2B8F72D9"/>
    <w:rsid w:val="2C3E3D54"/>
    <w:rsid w:val="2C9F11C1"/>
    <w:rsid w:val="2DDF25F1"/>
    <w:rsid w:val="2FAD064B"/>
    <w:rsid w:val="2FD06FBB"/>
    <w:rsid w:val="30D0456A"/>
    <w:rsid w:val="30F135AF"/>
    <w:rsid w:val="325D1CC6"/>
    <w:rsid w:val="39330543"/>
    <w:rsid w:val="3A700E16"/>
    <w:rsid w:val="3C56542D"/>
    <w:rsid w:val="3E1957AA"/>
    <w:rsid w:val="3F9A5196"/>
    <w:rsid w:val="40A677E6"/>
    <w:rsid w:val="43CF5762"/>
    <w:rsid w:val="43E85CE0"/>
    <w:rsid w:val="447C025A"/>
    <w:rsid w:val="486633D2"/>
    <w:rsid w:val="48F34D4D"/>
    <w:rsid w:val="4A495643"/>
    <w:rsid w:val="4B7F5AA0"/>
    <w:rsid w:val="4D1A7C83"/>
    <w:rsid w:val="4D7A5878"/>
    <w:rsid w:val="4DD64EF3"/>
    <w:rsid w:val="4F5D0E05"/>
    <w:rsid w:val="538D10B0"/>
    <w:rsid w:val="541C786B"/>
    <w:rsid w:val="556B6464"/>
    <w:rsid w:val="5B642A4C"/>
    <w:rsid w:val="5DAE3D9B"/>
    <w:rsid w:val="5F84418F"/>
    <w:rsid w:val="60A848E9"/>
    <w:rsid w:val="60AA236E"/>
    <w:rsid w:val="612E5583"/>
    <w:rsid w:val="61423949"/>
    <w:rsid w:val="638A25C7"/>
    <w:rsid w:val="645E75F7"/>
    <w:rsid w:val="65AD7A31"/>
    <w:rsid w:val="66E63748"/>
    <w:rsid w:val="68083AC1"/>
    <w:rsid w:val="6AFD0C6D"/>
    <w:rsid w:val="6F091CEA"/>
    <w:rsid w:val="703114BA"/>
    <w:rsid w:val="70761434"/>
    <w:rsid w:val="70A4514D"/>
    <w:rsid w:val="71D11804"/>
    <w:rsid w:val="7356021B"/>
    <w:rsid w:val="73C94D43"/>
    <w:rsid w:val="75924A9C"/>
    <w:rsid w:val="78EC0AE1"/>
    <w:rsid w:val="793B5365"/>
    <w:rsid w:val="7A546FC8"/>
    <w:rsid w:val="7A987658"/>
    <w:rsid w:val="7ACD4965"/>
    <w:rsid w:val="7D8B2F23"/>
    <w:rsid w:val="7EC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uiPriority w:val="0"/>
    <w:pPr>
      <w:spacing w:after="100" w:afterAutospacing="1"/>
      <w:textAlignment w:val="baseline"/>
    </w:pPr>
    <w:rPr>
      <w:rFonts w:ascii="Arial" w:hAnsi="Arial" w:eastAsia="宋体" w:cs="Times New Roman"/>
      <w:kern w:val="2"/>
      <w:sz w:val="24"/>
      <w:szCs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2021-05-28T14:36:00Z</dcterms:created>
  <dc:creator>Administrator</dc:creator>
  <cp:lastModifiedBy>朱焱</cp:lastModifiedBy>
  <cp:lastPrinted>2011-07-08T11:53:00Z</cp:lastPrinted>
  <dcterms:modified xsi:type="dcterms:W3CDTF">2023-06-05T03:42:11Z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F8D3A3C6DAF04BD998AAEED36B4831CE</vt:lpwstr>
  </property>
</Properties>
</file>