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荔湾区沙面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街道办事处公开招聘编外人员报名表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填报日期：</w:t>
      </w:r>
      <w:r>
        <w:rPr>
          <w:rFonts w:hint="eastAsia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年</w:t>
      </w:r>
      <w:r>
        <w:rPr>
          <w:rFonts w:hint="eastAsia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tbl>
      <w:tblPr>
        <w:tblStyle w:val="5"/>
        <w:tblW w:w="9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532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tbl>
      <w:tblPr>
        <w:tblStyle w:val="5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B492B"/>
    <w:rsid w:val="648F41D3"/>
    <w:rsid w:val="719F111F"/>
    <w:rsid w:val="767B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toc 2"/>
    <w:basedOn w:val="1"/>
    <w:next w:val="1"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2023-02-23T04:00:00Z</dcterms:created>
  <dc:creator>佐雨宸</dc:creator>
  <cp:lastModifiedBy>佐雨宸</cp:lastModifiedBy>
  <cp:lastPrinted>2023-02-23T06:38:17Z</cp:lastPrinted>
  <dcterms:modified xsi:type="dcterms:W3CDTF">2023-02-23T06:54:28Z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