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附件1：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2年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玉环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市干江镇事业单位公开选聘工作人员计划职位表</w:t>
      </w:r>
    </w:p>
    <w:tbl>
      <w:tblPr>
        <w:tblStyle w:val="5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hint="eastAsia" w:eastAsia="黑体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hint="eastAsia" w:eastAsia="黑体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干江镇人民政府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干江镇经济建设服务中心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财务岗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专技岗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/>
                <w:kern w:val="0"/>
                <w:szCs w:val="21"/>
                <w:woUserID w:val="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120203K会计学、120204财务管理</w:t>
            </w:r>
            <w:r>
              <w:rPr>
                <w:rFonts w:hint="default" w:asciiTheme="minorEastAsia" w:hAnsiTheme="minorEastAsia"/>
                <w:kern w:val="0"/>
                <w:szCs w:val="21"/>
                <w:woUserID w:val="1"/>
              </w:rPr>
              <w:t>等</w:t>
            </w:r>
            <w:r>
              <w:rPr>
                <w:rFonts w:hint="default" w:asciiTheme="minorEastAsia" w:hAnsiTheme="minorEastAsia"/>
                <w:kern w:val="0"/>
                <w:szCs w:val="21"/>
                <w:woUserID w:val="1"/>
              </w:rPr>
              <w:t>相关专业</w:t>
            </w:r>
            <w:bookmarkStart w:id="0" w:name="_GoBack"/>
            <w:bookmarkEnd w:id="0"/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年龄在35周岁及以下;有中级会计师及以上职称年龄放宽至40周岁。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面向玉环市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</w:rPr>
              <w:t>0576-87469014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2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276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kMzA5YTFiNTc1MmZlMjI1NjNlZjdhMTk0NTZiM2EifQ=="/>
  </w:docVars>
  <w:rsids>
    <w:rsidRoot w:val="00021D43"/>
    <w:rsid w:val="00021D43"/>
    <w:rsid w:val="001378F8"/>
    <w:rsid w:val="0036395D"/>
    <w:rsid w:val="00415A3B"/>
    <w:rsid w:val="00603A4C"/>
    <w:rsid w:val="00777DB7"/>
    <w:rsid w:val="0092679A"/>
    <w:rsid w:val="00A72A32"/>
    <w:rsid w:val="00B452B6"/>
    <w:rsid w:val="00BA228D"/>
    <w:rsid w:val="00C24833"/>
    <w:rsid w:val="00C740DE"/>
    <w:rsid w:val="00D11932"/>
    <w:rsid w:val="00DB451F"/>
    <w:rsid w:val="00E00176"/>
    <w:rsid w:val="00FC5B76"/>
    <w:rsid w:val="600140DD"/>
    <w:rsid w:val="77D74DF2"/>
    <w:rsid w:val="7FFF276E"/>
    <w:rsid w:val="DFB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WLRSLD</Company>
  <Pages>1</Pages>
  <Words>54</Words>
  <Characters>312</Characters>
  <Lines>2</Lines>
  <Paragraphs>1</Paragraphs>
  <TotalTime>176</TotalTime>
  <ScaleCrop>false</ScaleCrop>
  <LinksUpToDate>false</LinksUpToDate>
  <CharactersWithSpaces>365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2021-04-14T09:08:00Z</dcterms:created>
  <dc:creator>PC</dc:creator>
  <cp:lastModifiedBy>Administrator</cp:lastModifiedBy>
  <dcterms:modified xsi:type="dcterms:W3CDTF">2022-11-24T19:18:45Z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E54F1AA51AD7486EADA95BB9F17569A4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