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06" w:lineRule="atLeast"/>
        <w:ind w:left="136" w:right="136"/>
        <w:jc w:val="center"/>
        <w:rPr>
          <w:rFonts w:hint="eastAsia" w:ascii="黑体" w:hAnsi="Times New Roman" w:eastAsia="黑体" w:cs="Times New Roman"/>
          <w:color w:val="000000"/>
          <w:sz w:val="44"/>
          <w:szCs w:val="44"/>
        </w:rPr>
      </w:pPr>
      <w:r>
        <w:rPr>
          <w:rFonts w:hint="eastAsia" w:ascii="黑体" w:eastAsia="黑体" w:cs="Times New Roman"/>
          <w:color w:val="000000"/>
          <w:sz w:val="44"/>
          <w:szCs w:val="44"/>
        </w:rPr>
        <w:t>中华人民共和国人力资源和社会保障部令</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eastAsia="仿宋_GB2312" w:cs="Times New Roman"/>
          <w:color w:val="000000"/>
          <w:sz w:val="32"/>
          <w:szCs w:val="32"/>
        </w:rPr>
        <w:t> </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ascii="仿宋_GB2312" w:eastAsia="仿宋_GB2312" w:cs="Times New Roman"/>
          <w:color w:val="000000"/>
          <w:sz w:val="32"/>
          <w:szCs w:val="32"/>
        </w:rPr>
        <w:t>第35号</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eastAsia="仿宋_GB2312" w:cs="Times New Roman"/>
          <w:color w:val="000000"/>
          <w:sz w:val="32"/>
          <w:szCs w:val="32"/>
        </w:rPr>
        <w:t> </w:t>
      </w:r>
    </w:p>
    <w:p>
      <w:pPr>
        <w:pStyle w:val="4"/>
        <w:shd w:val="clear" w:color="auto" w:fill="FFFFFF"/>
        <w:spacing w:before="0" w:beforeAutospacing="0" w:after="0" w:afterAutospacing="0" w:line="306" w:lineRule="atLeast"/>
        <w:ind w:left="136" w:right="136"/>
        <w:rPr>
          <w:rFonts w:hint="eastAsia" w:ascii="仿宋_GB2312" w:hAnsi="Times New Roman" w:eastAsia="仿宋_GB2312" w:cs="Times New Roman"/>
          <w:color w:val="000000"/>
          <w:sz w:val="32"/>
          <w:szCs w:val="32"/>
        </w:rPr>
      </w:pPr>
      <w:r>
        <w:rPr>
          <w:rFonts w:hint="eastAsia" w:ascii="仿宋_GB2312" w:eastAsia="仿宋_GB2312" w:cs="Times New Roman"/>
          <w:color w:val="000000"/>
          <w:sz w:val="32"/>
          <w:szCs w:val="32"/>
        </w:rPr>
        <w:t>　 《事业单位公开招聘违纪违规行为处理规定》已经2017年9月25日人力资源社会保障部第135次部务会审议通过，现予公布，自2018年1月1日起施行。</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w:t>
      </w:r>
    </w:p>
    <w:p>
      <w:pPr>
        <w:pStyle w:val="4"/>
        <w:shd w:val="clear" w:color="auto" w:fill="FFFFFF"/>
        <w:spacing w:before="0" w:beforeAutospacing="0" w:after="0" w:afterAutospacing="0" w:line="306" w:lineRule="atLeast"/>
        <w:ind w:left="136" w:right="136"/>
        <w:jc w:val="center"/>
        <w:rPr>
          <w:rFonts w:hint="eastAsia" w:ascii="仿宋_GB2312" w:hAnsi="Times New Roman" w:eastAsia="仿宋_GB2312" w:cs="Times New Roman"/>
          <w:color w:val="000000"/>
          <w:sz w:val="32"/>
          <w:szCs w:val="32"/>
        </w:rPr>
      </w:pPr>
      <w:r>
        <w:rPr>
          <w:rFonts w:hint="eastAsia" w:eastAsia="仿宋_GB2312" w:cs="Times New Roman"/>
          <w:color w:val="000000"/>
          <w:sz w:val="32"/>
          <w:szCs w:val="32"/>
        </w:rPr>
        <w:t>                                                                       </w:t>
      </w:r>
      <w:r>
        <w:rPr>
          <w:rFonts w:hint="eastAsia" w:ascii="仿宋_GB2312" w:eastAsia="仿宋_GB2312" w:cs="Times New Roman"/>
          <w:color w:val="000000"/>
          <w:sz w:val="32"/>
          <w:szCs w:val="32"/>
        </w:rPr>
        <w:t>部长 尹蔚民</w:t>
      </w:r>
    </w:p>
    <w:p>
      <w:pPr>
        <w:pStyle w:val="4"/>
        <w:shd w:val="clear" w:color="auto" w:fill="FFFFFF"/>
        <w:spacing w:before="0" w:beforeAutospacing="0" w:after="0" w:afterAutospacing="0" w:line="306" w:lineRule="atLeast"/>
        <w:ind w:left="136" w:right="136"/>
        <w:jc w:val="center"/>
        <w:rPr>
          <w:rFonts w:hint="eastAsia" w:ascii="仿宋_GB2312" w:eastAsia="仿宋_GB2312" w:cs="Times New Roman"/>
          <w:color w:val="000000"/>
          <w:sz w:val="32"/>
          <w:szCs w:val="32"/>
        </w:rPr>
      </w:pPr>
      <w:r>
        <w:rPr>
          <w:rFonts w:hint="eastAsia" w:eastAsia="仿宋_GB2312" w:cs="Times New Roman"/>
          <w:color w:val="000000"/>
          <w:sz w:val="32"/>
          <w:szCs w:val="32"/>
        </w:rPr>
        <w:t>                                                                        </w:t>
      </w:r>
      <w:r>
        <w:rPr>
          <w:rFonts w:hint="eastAsia" w:ascii="仿宋_GB2312" w:eastAsia="仿宋_GB2312" w:cs="Times New Roman"/>
          <w:color w:val="000000"/>
          <w:sz w:val="32"/>
          <w:szCs w:val="32"/>
        </w:rPr>
        <w:t xml:space="preserve"> 2017年10月9日</w:t>
      </w:r>
    </w:p>
    <w:p>
      <w:pPr>
        <w:pStyle w:val="4"/>
        <w:shd w:val="clear" w:color="auto" w:fill="FFFFFF"/>
        <w:spacing w:before="0" w:beforeAutospacing="0" w:after="0" w:afterAutospacing="0" w:line="306" w:lineRule="atLeast"/>
        <w:ind w:left="136" w:right="136"/>
        <w:jc w:val="center"/>
        <w:rPr>
          <w:rFonts w:hint="eastAsia" w:ascii="仿宋_GB2312" w:eastAsia="仿宋_GB2312" w:cs="Times New Roman"/>
          <w:color w:val="000000"/>
          <w:sz w:val="32"/>
          <w:szCs w:val="32"/>
        </w:rPr>
      </w:pPr>
    </w:p>
    <w:p>
      <w:pPr>
        <w:pStyle w:val="4"/>
        <w:shd w:val="clear" w:color="auto" w:fill="FFFFFF"/>
        <w:spacing w:before="0" w:beforeAutospacing="0" w:after="0" w:afterAutospacing="0" w:line="306" w:lineRule="atLeast"/>
        <w:ind w:left="136" w:right="136"/>
        <w:jc w:val="center"/>
        <w:rPr>
          <w:rFonts w:hint="eastAsia" w:ascii="仿宋_GB2312" w:eastAsia="仿宋_GB2312" w:cs="Times New Roman"/>
          <w:color w:val="000000"/>
          <w:sz w:val="32"/>
          <w:szCs w:val="32"/>
        </w:rPr>
      </w:pPr>
    </w:p>
    <w:p>
      <w:pPr>
        <w:pStyle w:val="4"/>
        <w:shd w:val="clear" w:color="auto" w:fill="FFFFFF"/>
        <w:spacing w:before="0" w:beforeAutospacing="0" w:after="0" w:afterAutospacing="0" w:line="306" w:lineRule="atLeast"/>
        <w:ind w:left="136" w:right="136"/>
        <w:jc w:val="center"/>
        <w:rPr>
          <w:rFonts w:hint="eastAsia" w:ascii="仿宋_GB2312" w:eastAsia="仿宋_GB2312" w:cs="Times New Roman"/>
          <w:color w:val="000000"/>
          <w:sz w:val="32"/>
          <w:szCs w:val="32"/>
        </w:rPr>
      </w:pPr>
    </w:p>
    <w:p>
      <w:pPr>
        <w:pStyle w:val="4"/>
        <w:shd w:val="clear" w:color="auto" w:fill="FFFFFF"/>
        <w:spacing w:before="0" w:beforeAutospacing="0" w:after="0" w:afterAutospacing="0" w:line="306" w:lineRule="atLeast"/>
        <w:ind w:left="136" w:right="136"/>
        <w:jc w:val="center"/>
        <w:rPr>
          <w:rFonts w:hint="eastAsia" w:ascii="仿宋_GB2312" w:eastAsia="仿宋_GB2312" w:cs="Times New Roman"/>
          <w:color w:val="000000"/>
          <w:sz w:val="32"/>
          <w:szCs w:val="3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hint="eastAsia" w:cs="Times New Roman"/>
          <w:color w:val="3B3B3B"/>
          <w:sz w:val="22"/>
          <w:szCs w:val="22"/>
        </w:rPr>
      </w:pP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事业单位公开招聘违纪违规行为处理规定</w:t>
      </w:r>
    </w:p>
    <w:p>
      <w:pPr>
        <w:pStyle w:val="4"/>
        <w:shd w:val="clear" w:color="auto" w:fill="FFFFFF"/>
        <w:spacing w:before="0" w:beforeAutospacing="0" w:after="0" w:afterAutospacing="0" w:line="306" w:lineRule="atLeast"/>
        <w:ind w:left="136" w:right="136"/>
        <w:rPr>
          <w:rFonts w:ascii="Times New Roman" w:hAnsi="Times New Roman" w:cs="Times New Roman"/>
          <w:color w:val="3B3B3B"/>
          <w:sz w:val="19"/>
          <w:szCs w:val="19"/>
        </w:rPr>
      </w:pPr>
      <w:r>
        <w:rPr>
          <w:rFonts w:hint="eastAsia" w:cs="Times New Roman"/>
          <w:color w:val="3B3B3B"/>
          <w:sz w:val="22"/>
          <w:szCs w:val="22"/>
        </w:rPr>
        <w:t> </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第一章   总  则</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第一条  为加强事业单位公开招聘工作管理，规范公开招聘违纪违规行为的认定与处理，保证招聘工作公开、公平、公正，根据《事业单位人事管理条例》等有关规定，制定本规定。</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第二条  事业单位公开招聘中违纪违规行为的认定与处理，适用本规定。   </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第三条  认定与处理公开招聘违纪违规行为，应当事实清楚、证据确凿、程序规范、适用规定准确。</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第四条  中央事业单位人事综合管理部门负责全国事业单位公开招聘工作的综合管理与监督。</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各级事业单位人事综合管理部门、事业单位主管部门、招聘单位按照事业单位公开招聘管理权限，依据本规定对公开招聘违纪违规行为进行认定与处理。</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 </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第二章 应聘人员违纪违规行为处理</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第五条  应聘人员在报名过程中有下列违纪违规行为之一的，取消其本次应聘资格：</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（一）伪造、涂改证件、证明等报名材料，或者以其他不正当手段获取应聘资格的；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（二）提供的涉及报考资格的申请材料或者信息不实，且影响报名审核结果的；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（三）其他应当取消其本次应聘资格的违纪违规行为。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第六条  应聘人员在考试过程中有下列违纪违规行为之一的，给予其当次该科目考试成绩无效的处理：</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（一）携带规定以外的物品进入考场且未按要求放在指定位置，经提醒仍不改正的；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（二）未在规定座位参加考试，或者未经考试工作人员允许擅自离开座位或者考场，经提醒仍不改正的；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（三）经提醒仍不按规定填写、填涂本人信息的；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（四）在试卷、答题纸、答题卡规定以外位置标注本人信息或者其他特殊标记的；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（五）在考试开始信号发出前答题，或者在考试结束信号发出后继续答题，经提醒仍不停止的；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（六）将试卷、答题卡、答题纸带出考场，或者故意损坏试卷、答题卡、答题纸及考试相关设施设备的；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（七）其他应当给予当次该科目考试成绩无效处理的违纪违规行为。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（一）抄袭、协助他人抄袭的；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（二）互相传递试卷、答题纸、答题卡、草稿纸等的；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（三）持伪造证件参加考试的；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（四）使用禁止带入考场的通讯工具、规定以外的电子用品的；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（五）本人离开考场后，在本场考试结束前，传播考试试题及答案的；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（六）其他应当给予当次全部科目考试成绩无效处理并记入事业单位公开招聘应聘人员诚信档案库的严重违纪违规行为。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第八条  应聘人员有下列特别严重违纪违规行为之一的，给予其当次全部科目考试成绩无效的处理，并将其违纪违规行为记入事业单位公开招聘应聘人员诚信档案库，长期记录：</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（一）串通作弊或者参与有组织作弊的；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（二）代替他人或者让他人代替自己参加考试的；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（三）其他应当给予当次全部科目考试成绩无效处理并记入事业单位公开招聘应聘人员诚信档案库的特别严重的违纪违规行为。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（一）故意扰乱考点、考场以及其他招聘工作场所秩序的；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（二）拒绝、妨碍工作人员履行管理职责的；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（三）威胁、侮辱、诽谤、诬陷工作人员或者其他应聘人员的；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（四）其他扰乱招聘工作秩序的违纪违规行为。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应聘人员之间同一科目作答内容雷同，并有其他相关证据证明其违纪违规行为成立的，视具体情形按照本规定第七条、第八条处理。</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FF0000"/>
          <w:sz w:val="19"/>
          <w:szCs w:val="19"/>
        </w:rPr>
      </w:pPr>
      <w:r>
        <w:rPr>
          <w:rFonts w:hint="eastAsia" w:cs="Times New Roman"/>
          <w:color w:val="FF0000"/>
          <w:sz w:val="22"/>
          <w:szCs w:val="2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第三章   招聘单位和招聘工作人员违纪违规行为处理</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（一）未按规定权限和程序核准（备案）招聘方案，擅自组织公开招聘的；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（二）设置与岗位无关的指向性或者限制性条件的；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（三）未按规定发布招聘公告的；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（四）招聘公告发布后，擅自变更招聘程序、岗位条件、招聘人数、考试考察方式等的；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（五）未按招聘条件进行资格审查的；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（六）未按规定组织体检的；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（七）未按规定公示拟聘用人员名单的；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（八）其他应当责令改正的违纪违规行为。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第十六条  招聘工作人员有下列行为之一的，由相关部门给予处分，并停止其继续参加当年及下一年度招聘工作：</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（一）擅自提前考试开始时间、推迟考试结束时间及缩短考试时间的；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（二）擅自为应聘人员调换考场或者座位的；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（三）未准确记录考场情况及违纪违规行为，并造成一定影响的；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（四）未执行回避制度的；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（五）其他一般违纪违规行为。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第十七条  招聘工作人员有下列行为之一的，由相关部门给予处分，并将其调离招聘工作岗位，不得再从事招聘工作；构成犯罪的，依法追究刑事责任：</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（一）指使、纵容他人作弊，或者在考试、考察、体检过程中参与作弊的；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（二）在保密期限内，泄露考试试题、面试评分要素等应当保密的信息的；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（三）擅自更改考试评分标准或者不按评分标准进行评卷的；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（四）监管不严，导致考场出现大面积作弊现象的；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（五）玩忽职守，造成不良影响的；</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（六）其他严重违纪违规行为。</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 </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第四章    处理程序</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对应聘人员违纪违规行为作出处理决定的，应当制作公开招聘违纪违规行为处理决定书，依法送达被处理的应聘人员。</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第二十条  应聘人员对处理决定不服的，可以依法申请行政复议或者提起行政诉讼。</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第二十一条  参与公开招聘的工作人员对因违纪违规行为受到处分不服的，可以依法申请复核或者提出申诉。</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 </w:t>
      </w:r>
    </w:p>
    <w:p>
      <w:pPr>
        <w:pStyle w:val="4"/>
        <w:shd w:val="clear" w:color="auto" w:fill="FFFFFF"/>
        <w:spacing w:before="0" w:beforeAutospacing="0" w:after="0" w:afterAutospacing="0" w:line="306" w:lineRule="atLeast"/>
        <w:ind w:left="136" w:right="136"/>
        <w:jc w:val="center"/>
        <w:rPr>
          <w:rFonts w:ascii="Times New Roman" w:hAnsi="Times New Roman" w:cs="Times New Roman"/>
          <w:color w:val="3B3B3B"/>
          <w:sz w:val="19"/>
          <w:szCs w:val="19"/>
        </w:rPr>
      </w:pPr>
      <w:r>
        <w:rPr>
          <w:rFonts w:hint="eastAsia" w:cs="Times New Roman"/>
          <w:color w:val="3B3B3B"/>
          <w:sz w:val="22"/>
          <w:szCs w:val="22"/>
        </w:rPr>
        <w:t>第五章       附    则 </w:t>
      </w:r>
    </w:p>
    <w:p>
      <w:pPr>
        <w:pStyle w:val="4"/>
        <w:shd w:val="clear" w:color="auto" w:fill="FFFFFF"/>
        <w:spacing w:before="0" w:beforeAutospacing="0" w:after="0" w:afterAutospacing="0" w:line="306" w:lineRule="atLeast"/>
        <w:ind w:left="136" w:right="136" w:firstLine="435"/>
        <w:rPr>
          <w:rFonts w:ascii="Times New Roman" w:hAnsi="Times New Roman" w:cs="Times New Roman"/>
          <w:color w:val="3B3B3B"/>
          <w:sz w:val="19"/>
          <w:szCs w:val="19"/>
        </w:rPr>
      </w:pPr>
      <w:r>
        <w:rPr>
          <w:rFonts w:hint="eastAsia" w:cs="Times New Roman"/>
          <w:color w:val="3B3B3B"/>
          <w:sz w:val="22"/>
          <w:szCs w:val="22"/>
        </w:rPr>
        <w:t>第二十二条   本规定自2018年1月1日起施行。</w:t>
      </w:r>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MjY3ZWY0MDk4YWIyZjQ0ODQ3MTU5N2UwYWYyY2QifQ=="/>
  </w:docVars>
  <w:rsids>
    <w:rsidRoot w:val="00000000"/>
    <w:rsid w:val="3A41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2022-11-23T08:26:37Z</dcterms:created>
  <dc:creator>Administrator</dc:creator>
  <cp:lastModifiedBy>李大壮</cp:lastModifiedBy>
  <dcterms:modified xsi:type="dcterms:W3CDTF">2022-11-23T08:26:51Z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935B8E32FA56496D8F22B740FC427F8F</vt:lpwstr>
  </property>
</Properties>
</file>