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kern w:val="0"/>
          <w:sz w:val="36"/>
          <w:szCs w:val="36"/>
        </w:rPr>
        <w:t>2022年博望区引进医疗卫生人才一览表</w:t>
      </w:r>
    </w:p>
    <w:bookmarkEnd w:id="0"/>
    <w:p>
      <w:pPr>
        <w:spacing w:line="560" w:lineRule="exact"/>
        <w:jc w:val="center"/>
        <w:rPr>
          <w:rFonts w:hint="eastAsia" w:ascii="Times New Roman" w:hAnsi="Times New Roman" w:eastAsia="方正小标宋简体"/>
          <w:kern w:val="0"/>
          <w:sz w:val="36"/>
          <w:szCs w:val="36"/>
        </w:rPr>
      </w:pPr>
    </w:p>
    <w:tbl>
      <w:tblPr>
        <w:tblStyle w:val="4"/>
        <w:tblW w:w="136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875"/>
        <w:gridCol w:w="1920"/>
        <w:gridCol w:w="780"/>
        <w:gridCol w:w="1440"/>
        <w:gridCol w:w="58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博望区人民医院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重症医学学科带头人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1、具有副高及以上职称；                               2、县级医院学术（学科）带头人和“三名”（名院、名医、名药）工作室负责人；                                  3、具备中级职称、本科及以上学历和5年以上三甲医院科室负责人工作经历；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4、报考者需满足上述条件之一，且执业范围需符合报考岗位要求。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超声医学学科带头人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5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1、具有副高及以上职称；                               2、县级医院学术（学科）带头人和“三名”（名院、名医、名药）工作室负责人；                                  3、具备中级职称、本科及以上学历和5年以上三甲医院科室负责人工作经历；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4、报考者需满足上述条件之一，且执业范围需符合报考岗位要求。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E2423"/>
    <w:rsid w:val="4B9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2022-11-16T07:14:00Z</dcterms:created>
  <dc:creator>崔爱民</dc:creator>
  <cp:lastModifiedBy>崔爱民</cp:lastModifiedBy>
  <dcterms:modified xsi:type="dcterms:W3CDTF">2022-11-16T07:15:16Z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