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lang w:val="en-US" w:eastAsia="zh-CN"/>
        </w:rPr>
        <w:t>毕节市农业农村局2022年度</w:t>
      </w:r>
      <w:r>
        <w:rPr>
          <w:rFonts w:hint="eastAsia" w:ascii="方正小标宋简体" w:hAnsi="方正小标宋简体" w:eastAsia="方正小标宋简体" w:cs="方正小标宋简体"/>
          <w:sz w:val="40"/>
          <w:szCs w:val="40"/>
          <w:highlight w:val="none"/>
        </w:rPr>
        <w:t>第</w:t>
      </w:r>
      <w:r>
        <w:rPr>
          <w:rFonts w:hint="eastAsia" w:ascii="方正小标宋简体" w:hAnsi="方正小标宋简体" w:eastAsia="方正小标宋简体" w:cs="方正小标宋简体"/>
          <w:sz w:val="40"/>
          <w:szCs w:val="40"/>
          <w:highlight w:val="none"/>
          <w:lang w:eastAsia="zh-CN"/>
        </w:rPr>
        <w:t>三</w:t>
      </w:r>
      <w:r>
        <w:rPr>
          <w:rFonts w:hint="eastAsia" w:ascii="方正小标宋简体" w:hAnsi="方正小标宋简体" w:eastAsia="方正小标宋简体" w:cs="方正小标宋简体"/>
          <w:sz w:val="40"/>
          <w:szCs w:val="40"/>
          <w:highlight w:val="none"/>
        </w:rPr>
        <w:t>批次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FF0000"/>
          <w:sz w:val="28"/>
          <w:szCs w:val="28"/>
          <w:lang w:val="en-US" w:eastAsia="zh-CN"/>
        </w:rPr>
      </w:pPr>
      <w:r>
        <w:rPr>
          <w:rFonts w:hint="eastAsia" w:ascii="方正小标宋简体" w:hAnsi="方正小标宋简体" w:eastAsia="方正小标宋简体" w:cs="方正小标宋简体"/>
          <w:sz w:val="40"/>
          <w:szCs w:val="40"/>
          <w:lang w:val="en-US" w:eastAsia="zh-CN"/>
        </w:rPr>
        <w:t>“人才强市”引才计划新冠肺炎疫情防控方案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sz w:val="32"/>
          <w:szCs w:val="32"/>
          <w:lang w:eastAsia="zh-CN"/>
        </w:rPr>
        <w:t>我单位拟于</w:t>
      </w:r>
      <w:r>
        <w:rPr>
          <w:rFonts w:hint="eastAsia" w:ascii="仿宋_GB2312" w:hAnsi="仿宋_GB2312" w:eastAsia="仿宋_GB2312" w:cs="仿宋_GB2312"/>
          <w:sz w:val="32"/>
          <w:szCs w:val="32"/>
          <w:lang w:val="en-US" w:eastAsia="zh-CN"/>
        </w:rPr>
        <w:t>2022年11月20日开展人才引进面试工作，</w:t>
      </w: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w:t>
      </w:r>
      <w:r>
        <w:rPr>
          <w:rFonts w:hint="default" w:ascii="Times New Roman" w:hAnsi="Times New Roman" w:eastAsia="仿宋_GB2312" w:cs="Times New Roman"/>
          <w:color w:val="auto"/>
          <w:sz w:val="32"/>
          <w:szCs w:val="32"/>
        </w:rPr>
        <w:t>疫情防控</w:t>
      </w:r>
      <w:r>
        <w:rPr>
          <w:rFonts w:hint="eastAsia" w:ascii="Times New Roman" w:hAnsi="Times New Roman" w:eastAsia="仿宋_GB2312" w:cs="Times New Roman"/>
          <w:color w:val="auto"/>
          <w:sz w:val="32"/>
          <w:szCs w:val="32"/>
          <w:lang w:val="en-US" w:eastAsia="zh-CN"/>
        </w:rPr>
        <w:t>责任压实到人、措施落实</w:t>
      </w:r>
      <w:r>
        <w:rPr>
          <w:rFonts w:hint="default" w:ascii="Times New Roman" w:hAnsi="Times New Roman" w:eastAsia="仿宋_GB2312" w:cs="Times New Roman"/>
          <w:color w:val="auto"/>
          <w:sz w:val="32"/>
          <w:szCs w:val="32"/>
        </w:rPr>
        <w:t>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如遇疫情防控突发紧急情况，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面试</w:t>
      </w:r>
      <w:r>
        <w:rPr>
          <w:rFonts w:hint="eastAsia" w:ascii="仿宋_GB2312" w:hAnsi="仿宋_GB2312" w:eastAsia="仿宋_GB2312" w:cs="仿宋_GB2312"/>
          <w:color w:val="000000" w:themeColor="text1"/>
          <w:sz w:val="32"/>
          <w:szCs w:val="32"/>
          <w:lang w:eastAsia="zh-CN"/>
          <w14:textFill>
            <w14:solidFill>
              <w14:schemeClr w14:val="tx1"/>
            </w14:solidFill>
          </w14:textFill>
        </w:rPr>
        <w:t>根据实际情况予以延期。</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w:t>
      </w:r>
      <w:r>
        <w:rPr>
          <w:rFonts w:hint="eastAsia" w:ascii="Times New Roman" w:hAnsi="Times New Roman" w:eastAsia="仿宋_GB2312" w:cs="Times New Roman"/>
          <w:kern w:val="0"/>
          <w:sz w:val="32"/>
          <w:szCs w:val="32"/>
          <w:lang w:eastAsia="zh-CN"/>
        </w:rPr>
        <w:t>科学合理、安全有序组织筹办聚集性活动。</w:t>
      </w:r>
      <w:r>
        <w:rPr>
          <w:rFonts w:hint="default" w:ascii="Times New Roman" w:hAnsi="Times New Roman" w:eastAsia="仿宋_GB2312" w:cs="Times New Roman"/>
          <w:kern w:val="0"/>
          <w:sz w:val="32"/>
          <w:szCs w:val="32"/>
        </w:rPr>
        <w:t>严格落实</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面试考生33人、考务工作人员21人，合计54人。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_GB2312" w:hAnsi="楷体_GB2312" w:eastAsia="楷体_GB2312" w:cs="楷体_GB2312"/>
          <w:b w:val="0"/>
          <w:bCs w:val="0"/>
          <w:color w:val="000000"/>
          <w:kern w:val="0"/>
          <w:sz w:val="32"/>
          <w:szCs w:val="32"/>
          <w:lang w:val="en-US" w:eastAsia="zh-CN"/>
        </w:rPr>
        <w:t>面试</w:t>
      </w:r>
      <w:r>
        <w:rPr>
          <w:rFonts w:hint="eastAsia" w:ascii="楷体_GB2312" w:hAnsi="楷体_GB2312" w:eastAsia="楷体_GB2312" w:cs="楷体_GB2312"/>
          <w:b w:val="0"/>
          <w:bCs w:val="0"/>
          <w:color w:val="000000"/>
          <w:kern w:val="0"/>
          <w:sz w:val="32"/>
          <w:szCs w:val="32"/>
          <w:lang w:eastAsia="zh-CN"/>
        </w:rPr>
        <w:t>前疫情防控要求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color w:val="auto"/>
          <w:sz w:val="32"/>
          <w:szCs w:val="32"/>
          <w:lang w:val="en-US" w:eastAsia="zh-CN"/>
        </w:rPr>
        <w:t>不能参面试人员和参加考务工作人员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（1）面试前10天内境外、港、台返回人员；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（2）面试前7天内省外中、高风险地区返回人员（高风险：7天集中隔离+5次核酸检测；中风险：7天居家隔离+3次核酸检测）；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（3）现阶段，面试前7天内有新疆、内蒙古、青海、甘肃、福建福州旅居史人员；（抵黔后实行“3天集中隔离+4天居家健康监测+5次核酸检测&lt;分别在第1、2、3、5、7天&gt;+1次抗原检测&lt;第1天&gt;</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”，严格落实首站负责制和全程闭环管理）；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阶段，面试前3天内有西藏，陕西西安和汉中，山西大同、太原、忻州，湖南邵阳和怀化，湖北武汉、宜昌、襄阳，河南郑州，河北沧州和廊坊，山东枣庄，黑龙江黑河和绥化，广东广州、佛山、深圳、梅州，福建南平，四川绵阳、广元、南充，云南德宏，重庆永川旅居史人员（抵黔后实行“3天居家健康监测+4天自我健康监测+5次核酸检测&lt;分别在第1、2、3、5、7天&g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（5）面试前3天内有省外其他地区入毕人员（抵黔后实行“三天三检”&lt;分别在第1天、第2天、第3天各开展一次核酸检测，每天的核酸采样时间尽量固定&gt;）；</w:t>
      </w:r>
    </w:p>
    <w:p>
      <w:pPr>
        <w:spacing w:line="560" w:lineRule="exact"/>
        <w:ind w:firstLine="640" w:firstLineChars="200"/>
        <w:rPr>
          <w:rFonts w:hint="eastAsia" w:eastAsia="仿宋_GB2312"/>
          <w:lang w:val="en-US" w:eastAsia="zh-CN"/>
        </w:rPr>
      </w:pPr>
      <w:r>
        <w:rPr>
          <w:rFonts w:hint="eastAsia" w:ascii="仿宋_GB2312" w:hAnsi="仿宋_GB2312" w:eastAsia="仿宋_GB2312" w:cs="仿宋_GB2312"/>
          <w:sz w:val="32"/>
          <w:szCs w:val="32"/>
          <w:lang w:val="en-US" w:eastAsia="zh-CN"/>
        </w:rPr>
        <w:t>（6）面试前3天内有省内</w:t>
      </w:r>
      <w:r>
        <w:rPr>
          <w:rFonts w:hint="eastAsia" w:ascii="仿宋_GB2312" w:hAnsi="仿宋_GB2312" w:eastAsia="仿宋_GB2312" w:cs="仿宋_GB2312"/>
          <w:sz w:val="32"/>
          <w:szCs w:val="32"/>
        </w:rPr>
        <w:t>划定有风险区域的县（市、区、特区）</w:t>
      </w:r>
      <w:r>
        <w:rPr>
          <w:rFonts w:hint="eastAsia" w:ascii="仿宋_GB2312" w:hAnsi="仿宋_GB2312" w:eastAsia="仿宋_GB2312" w:cs="仿宋_GB2312"/>
          <w:sz w:val="32"/>
          <w:szCs w:val="32"/>
          <w:lang w:eastAsia="zh-CN"/>
        </w:rPr>
        <w:t>低风险地区人员（</w:t>
      </w:r>
      <w:r>
        <w:rPr>
          <w:rFonts w:hint="eastAsia" w:ascii="仿宋_GB2312" w:hAnsi="仿宋_GB2312" w:eastAsia="仿宋_GB2312" w:cs="仿宋_GB2312"/>
          <w:sz w:val="32"/>
          <w:szCs w:val="32"/>
        </w:rPr>
        <w:t>须持48小时内核酸检测阴性证明方可离开所在市（州），并在抵达目的地后主动配合当地疫情防控部门落实“三天三检”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（7）仍处于康复或隔离期的确诊病例、无症状感染者；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（8）仍处于医学隔离期或观察期的密切接触者和次密切接触者；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仍处于随访或医学观察期内的人员；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（10）与阳性感染者同乘交通工具或活动轨迹</w:t>
      </w:r>
      <w:r>
        <w:rPr>
          <w:rFonts w:hint="eastAsia" w:ascii="仿宋_GB2312" w:hAnsi="仿宋_GB2312" w:eastAsia="仿宋_GB2312" w:cs="仿宋_GB2312"/>
          <w:sz w:val="32"/>
          <w:szCs w:val="32"/>
        </w:rPr>
        <w:t>有交集的</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（11）自接到通知起，如有出现体温高于37.3℃、乏力、咳嗽、腹泻、呕吐、嗅觉或味觉减退等症状，未排除传染病的人员；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（12）健康码非绿码人员。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2.面试前健康监测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所有</w:t>
      </w:r>
      <w:r>
        <w:rPr>
          <w:rFonts w:hint="eastAsia" w:ascii="仿宋_GB2312" w:hAnsi="仿宋_GB2312" w:eastAsia="仿宋_GB2312" w:cs="仿宋_GB2312"/>
          <w:color w:val="auto"/>
          <w:sz w:val="32"/>
          <w:szCs w:val="32"/>
          <w:lang w:eastAsia="zh-CN"/>
        </w:rPr>
        <w:t>参</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lang w:val="en-US" w:eastAsia="zh-CN"/>
        </w:rPr>
        <w:t>考</w:t>
      </w:r>
      <w:r>
        <w:rPr>
          <w:rFonts w:hint="eastAsia" w:ascii="仿宋_GB2312" w:hAnsi="仿宋_GB2312" w:eastAsia="仿宋_GB2312" w:cs="仿宋_GB2312"/>
          <w:color w:val="auto"/>
          <w:sz w:val="32"/>
          <w:szCs w:val="32"/>
          <w:lang w:eastAsia="zh-CN"/>
        </w:rPr>
        <w:t>务工作人员</w:t>
      </w:r>
      <w:r>
        <w:rPr>
          <w:rFonts w:hint="eastAsia" w:ascii="仿宋_GB2312" w:hAnsi="仿宋_GB2312" w:eastAsia="仿宋_GB2312" w:cs="仿宋_GB2312"/>
          <w:color w:val="auto"/>
          <w:sz w:val="32"/>
          <w:szCs w:val="32"/>
          <w:lang w:val="en-US" w:eastAsia="zh-CN"/>
        </w:rPr>
        <w:t>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3.</w:t>
      </w:r>
      <w:r>
        <w:rPr>
          <w:rFonts w:hint="eastAsia" w:ascii="仿宋_GB2312" w:hAnsi="仿宋_GB2312" w:eastAsia="仿宋_GB2312" w:cs="仿宋_GB2312"/>
          <w:b/>
          <w:bCs/>
          <w:color w:val="000000"/>
          <w:kern w:val="2"/>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lang w:eastAsia="zh-CN"/>
        </w:rPr>
        <w:t>参加面试人员</w:t>
      </w:r>
      <w:r>
        <w:rPr>
          <w:rFonts w:hint="eastAsia" w:ascii="Times New Roman" w:hAnsi="Times New Roman" w:eastAsia="仿宋_GB2312" w:cs="Times New Roman"/>
          <w:kern w:val="0"/>
          <w:sz w:val="32"/>
          <w:szCs w:val="32"/>
        </w:rPr>
        <w:t>及工作</w:t>
      </w:r>
      <w:r>
        <w:rPr>
          <w:rFonts w:hint="default" w:ascii="Times New Roman" w:hAnsi="Times New Roman" w:eastAsia="仿宋_GB2312" w:cs="Times New Roman"/>
          <w:kern w:val="0"/>
          <w:sz w:val="32"/>
          <w:szCs w:val="32"/>
        </w:rPr>
        <w:t>人员在报到前，须完成“三史”（即旅居史、接触史、发热史）的申报，如实填写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（见附件）</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个人防疫情况申报表</w:t>
      </w:r>
      <w:r>
        <w:rPr>
          <w:rFonts w:hint="default" w:ascii="Times New Roman" w:hAnsi="Times New Roman" w:eastAsia="仿宋_GB2312" w:cs="Times New Roman"/>
          <w:kern w:val="0"/>
          <w:sz w:val="32"/>
          <w:szCs w:val="32"/>
          <w:lang w:eastAsia="zh-CN"/>
        </w:rPr>
        <w:t>》须在报到时全部审核完毕，审核不合格人员原则上不再参加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lang w:eastAsia="zh-CN"/>
        </w:rPr>
        <w:t>及</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务工作</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所有参</w:t>
      </w:r>
      <w:r>
        <w:rPr>
          <w:rFonts w:hint="eastAsia" w:ascii="Times New Roman" w:hAnsi="Times New Roman" w:eastAsia="仿宋_GB2312" w:cs="Times New Roman"/>
          <w:kern w:val="0"/>
          <w:sz w:val="32"/>
          <w:szCs w:val="32"/>
          <w:lang w:eastAsia="zh-CN"/>
        </w:rPr>
        <w:t>加面试</w:t>
      </w:r>
      <w:r>
        <w:rPr>
          <w:rFonts w:hint="default" w:ascii="Times New Roman" w:hAnsi="Times New Roman" w:eastAsia="仿宋_GB2312" w:cs="Times New Roman"/>
          <w:kern w:val="0"/>
          <w:sz w:val="32"/>
          <w:szCs w:val="32"/>
          <w:lang w:eastAsia="zh-CN"/>
        </w:rPr>
        <w:t>人员</w:t>
      </w:r>
      <w:r>
        <w:rPr>
          <w:rFonts w:hint="default" w:ascii="Times New Roman" w:hAnsi="Times New Roman" w:eastAsia="仿宋_GB2312" w:cs="Times New Roman"/>
          <w:kern w:val="0"/>
          <w:sz w:val="32"/>
          <w:szCs w:val="32"/>
        </w:rPr>
        <w:t>及工作人员进入</w:t>
      </w:r>
      <w:r>
        <w:rPr>
          <w:rFonts w:hint="eastAsia"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lang w:eastAsia="zh-CN"/>
        </w:rPr>
        <w:t>场</w:t>
      </w:r>
      <w:r>
        <w:rPr>
          <w:rFonts w:hint="default" w:ascii="Times New Roman" w:hAnsi="Times New Roman" w:eastAsia="仿宋_GB2312" w:cs="Times New Roman"/>
          <w:kern w:val="0"/>
          <w:sz w:val="32"/>
          <w:szCs w:val="32"/>
        </w:rPr>
        <w:t>前，须进行</w:t>
      </w:r>
      <w:r>
        <w:rPr>
          <w:rFonts w:hint="eastAsia" w:ascii="Times New Roman" w:hAnsi="Times New Roman" w:eastAsia="仿宋_GB2312" w:cs="Times New Roman"/>
          <w:kern w:val="0"/>
          <w:sz w:val="32"/>
          <w:szCs w:val="32"/>
          <w:lang w:eastAsia="zh-CN"/>
        </w:rPr>
        <w:t>“贵州健康码”、“通信大数据行程卡”和“疫苗接种标识”（以下简称“三码”）</w:t>
      </w:r>
      <w:r>
        <w:rPr>
          <w:rFonts w:hint="default"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lang w:eastAsia="zh-CN"/>
        </w:rPr>
        <w:t>检测</w:t>
      </w:r>
      <w:r>
        <w:rPr>
          <w:rFonts w:hint="default"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方能进入。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kern w:val="2"/>
          <w:sz w:val="32"/>
          <w:szCs w:val="32"/>
          <w:lang w:val="en-US" w:eastAsia="zh-CN"/>
        </w:rPr>
      </w:pPr>
      <w:r>
        <w:rPr>
          <w:rFonts w:hint="eastAsia" w:ascii="仿宋_GB2312" w:hAnsi="仿宋_GB2312" w:eastAsia="仿宋_GB2312" w:cs="仿宋_GB2312"/>
          <w:b/>
          <w:bCs/>
          <w:color w:val="auto"/>
          <w:kern w:val="2"/>
          <w:sz w:val="32"/>
          <w:szCs w:val="32"/>
          <w:lang w:val="en-US" w:eastAsia="zh-CN"/>
        </w:rPr>
        <w:t>4.核酸检测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pStyle w:val="2"/>
        <w:keepNext w:val="0"/>
        <w:keepLines w:val="0"/>
        <w:pageBreakBefore w:val="0"/>
        <w:kinsoku/>
        <w:wordWrap/>
        <w:overflowPunct/>
        <w:topLinePunct w:val="0"/>
        <w:autoSpaceDE/>
        <w:autoSpaceDN/>
        <w:bidi w:val="0"/>
        <w:spacing w:before="0" w:after="0" w:line="560" w:lineRule="exact"/>
        <w:ind w:firstLine="642"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5.面试</w:t>
      </w:r>
      <w:r>
        <w:rPr>
          <w:rFonts w:hint="eastAsia" w:ascii="仿宋_GB2312" w:hAnsi="仿宋_GB2312" w:eastAsia="仿宋_GB2312" w:cs="仿宋_GB2312"/>
          <w:b/>
          <w:bCs/>
          <w:sz w:val="32"/>
          <w:szCs w:val="32"/>
          <w:lang w:eastAsia="zh-CN"/>
        </w:rPr>
        <w:t>前</w:t>
      </w:r>
      <w:r>
        <w:rPr>
          <w:rFonts w:hint="eastAsia" w:ascii="仿宋_GB2312" w:hAnsi="仿宋_GB2312" w:eastAsia="仿宋_GB2312" w:cs="仿宋_GB2312"/>
          <w:b/>
          <w:bCs/>
          <w:sz w:val="32"/>
          <w:szCs w:val="32"/>
          <w:lang w:val="en-US"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“应接尽接”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所有参会人员、会</w:t>
      </w:r>
      <w:r>
        <w:rPr>
          <w:rFonts w:hint="eastAsia" w:ascii="仿宋_GB2312" w:hAnsi="仿宋_GB2312" w:eastAsia="仿宋_GB2312" w:cs="仿宋_GB2312"/>
          <w:sz w:val="32"/>
          <w:szCs w:val="32"/>
          <w:lang w:val="en-US" w:eastAsia="zh-CN"/>
        </w:rPr>
        <w:t>/考</w:t>
      </w:r>
      <w:r>
        <w:rPr>
          <w:rFonts w:hint="eastAsia" w:ascii="仿宋_GB2312" w:hAnsi="仿宋_GB2312" w:eastAsia="仿宋_GB2312" w:cs="仿宋_GB2312"/>
          <w:sz w:val="32"/>
          <w:szCs w:val="32"/>
        </w:rPr>
        <w:t>务工作人员符合接种条件的须在会前进行新冠病毒疫苗全程接种</w:t>
      </w:r>
      <w:r>
        <w:rPr>
          <w:rFonts w:hint="eastAsia" w:ascii="仿宋_GB2312" w:hAnsi="仿宋_GB2312" w:eastAsia="仿宋_GB2312" w:cs="仿宋_GB2312"/>
          <w:sz w:val="32"/>
          <w:szCs w:val="32"/>
          <w:lang w:eastAsia="zh-CN"/>
        </w:rPr>
        <w:t>（如已具备加强针接种条件，需完成加强针接种）</w:t>
      </w:r>
      <w:r>
        <w:rPr>
          <w:rFonts w:hint="eastAsia" w:ascii="仿宋_GB2312" w:hAnsi="仿宋_GB2312" w:eastAsia="仿宋_GB2312" w:cs="仿宋_GB2312"/>
          <w:sz w:val="32"/>
          <w:szCs w:val="32"/>
        </w:rPr>
        <w:t>，尚未完成接种的适龄无禁忌症人员，原则上不安排参加会议</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000000"/>
          <w:kern w:val="2"/>
          <w:sz w:val="32"/>
          <w:szCs w:val="32"/>
        </w:rPr>
      </w:pPr>
      <w:r>
        <w:rPr>
          <w:rFonts w:hint="eastAsia" w:ascii="仿宋_GB2312" w:hAnsi="仿宋_GB2312" w:eastAsia="仿宋_GB2312" w:cs="仿宋_GB2312"/>
          <w:b/>
          <w:bCs/>
          <w:color w:val="000000"/>
          <w:kern w:val="2"/>
          <w:sz w:val="32"/>
          <w:szCs w:val="32"/>
          <w:lang w:val="en-US" w:eastAsia="zh-CN"/>
        </w:rPr>
        <w:t>6.</w:t>
      </w:r>
      <w:r>
        <w:rPr>
          <w:rFonts w:hint="eastAsia" w:ascii="仿宋_GB2312" w:hAnsi="仿宋_GB2312" w:eastAsia="仿宋_GB2312" w:cs="仿宋_GB2312"/>
          <w:b/>
          <w:bCs/>
          <w:color w:val="000000"/>
          <w:kern w:val="2"/>
          <w:sz w:val="32"/>
          <w:szCs w:val="32"/>
        </w:rPr>
        <w:t>日常防护措施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所有</w:t>
      </w:r>
      <w:r>
        <w:rPr>
          <w:rFonts w:hint="default" w:ascii="Times New Roman" w:hAnsi="Times New Roman" w:eastAsia="仿宋_GB2312" w:cs="Times New Roman"/>
          <w:kern w:val="2"/>
          <w:sz w:val="32"/>
          <w:szCs w:val="32"/>
          <w:lang w:eastAsia="zh-CN"/>
        </w:rPr>
        <w:t>参</w:t>
      </w:r>
      <w:r>
        <w:rPr>
          <w:rFonts w:hint="eastAsia" w:ascii="Times New Roman" w:hAnsi="Times New Roman" w:eastAsia="仿宋_GB2312" w:cs="Times New Roman"/>
          <w:kern w:val="2"/>
          <w:sz w:val="32"/>
          <w:szCs w:val="32"/>
          <w:lang w:eastAsia="zh-CN"/>
        </w:rPr>
        <w:t>加面试</w:t>
      </w:r>
      <w:r>
        <w:rPr>
          <w:rFonts w:hint="eastAsia" w:ascii="Times New Roman" w:hAnsi="Times New Roman" w:eastAsia="仿宋_GB2312" w:cs="Times New Roman"/>
          <w:kern w:val="2"/>
          <w:sz w:val="32"/>
          <w:szCs w:val="32"/>
          <w:lang w:val="en-US" w:eastAsia="zh-CN"/>
        </w:rPr>
        <w:t>考生</w:t>
      </w:r>
      <w:r>
        <w:rPr>
          <w:rFonts w:hint="default" w:ascii="Times New Roman" w:hAnsi="Times New Roman" w:eastAsia="仿宋_GB2312" w:cs="Times New Roman"/>
          <w:kern w:val="0"/>
          <w:sz w:val="32"/>
          <w:szCs w:val="32"/>
        </w:rPr>
        <w:t>及工作人员</w:t>
      </w:r>
      <w:r>
        <w:rPr>
          <w:rFonts w:hint="default" w:ascii="Times New Roman" w:hAnsi="Times New Roman" w:eastAsia="仿宋_GB2312" w:cs="Times New Roman"/>
          <w:sz w:val="32"/>
          <w:szCs w:val="32"/>
        </w:rPr>
        <w:t>乘坐公共交通工具前往</w:t>
      </w:r>
      <w:r>
        <w:rPr>
          <w:rFonts w:hint="default" w:ascii="Times New Roman" w:hAnsi="Times New Roman" w:eastAsia="仿宋_GB2312" w:cs="Times New Roman"/>
          <w:sz w:val="32"/>
          <w:szCs w:val="32"/>
          <w:lang w:eastAsia="zh-CN"/>
        </w:rPr>
        <w:t>会场途</w:t>
      </w:r>
      <w:r>
        <w:rPr>
          <w:rFonts w:hint="default" w:ascii="Times New Roman" w:hAnsi="Times New Roman" w:eastAsia="仿宋_GB2312" w:cs="Times New Roman"/>
          <w:sz w:val="32"/>
          <w:szCs w:val="32"/>
        </w:rPr>
        <w:t>中，尽量减少接触公共场所的公共物品和部位；途经公共场所后，尽快用洗手液洗手，或者使用含酒精成分的免洗洗手液；不确定手是否清洁时，避免用手接触口鼻眼。乘坐公共交通工具时请做好个人防护，全程佩戴一次性使用医</w:t>
      </w:r>
      <w:r>
        <w:rPr>
          <w:rFonts w:hint="default" w:ascii="Times New Roman" w:hAnsi="Times New Roman" w:eastAsia="仿宋_GB2312" w:cs="Times New Roman"/>
          <w:kern w:val="0"/>
          <w:sz w:val="32"/>
          <w:szCs w:val="32"/>
        </w:rPr>
        <w:t>用口罩，及时进行手消。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bCs/>
          <w:kern w:val="0"/>
          <w:sz w:val="32"/>
          <w:szCs w:val="32"/>
          <w:lang w:val="en-US" w:eastAsia="zh-CN"/>
        </w:rPr>
      </w:pPr>
      <w:r>
        <w:rPr>
          <w:rFonts w:hint="eastAsia" w:ascii="Times New Roman" w:hAnsi="Times New Roman" w:eastAsia="仿宋_GB2312" w:cs="Times New Roman"/>
          <w:b/>
          <w:bCs/>
          <w:kern w:val="0"/>
          <w:sz w:val="32"/>
          <w:szCs w:val="32"/>
          <w:lang w:val="en-US" w:eastAsia="zh-CN"/>
        </w:rPr>
        <w:t>7.申领场所码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根据省应对新冠肺炎疫情联防联控机制综合组《关于进一步做好聚集性活动防疫保障的工作提示》要求，</w:t>
      </w:r>
      <w:r>
        <w:rPr>
          <w:rFonts w:hint="default" w:ascii="Times New Roman" w:hAnsi="Times New Roman" w:eastAsia="仿宋_GB2312" w:cs="Times New Roman"/>
          <w:kern w:val="0"/>
          <w:sz w:val="32"/>
          <w:szCs w:val="32"/>
        </w:rPr>
        <w:t>聚集性活动举办前，主办方要合理规划活动场所，科学设置进出口，并按规定申领场所码</w:t>
      </w:r>
      <w:r>
        <w:rPr>
          <w:rFonts w:hint="eastAsia" w:ascii="Times New Roman" w:hAnsi="Times New Roman" w:eastAsia="仿宋_GB2312" w:cs="Times New Roman"/>
          <w:kern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（二）</w:t>
      </w:r>
      <w:r>
        <w:rPr>
          <w:rFonts w:hint="default" w:ascii="楷体_GB2312" w:hAnsi="楷体_GB2312" w:eastAsia="楷体_GB2312" w:cs="楷体_GB2312"/>
          <w:b w:val="0"/>
          <w:bCs w:val="0"/>
          <w:color w:val="000000"/>
          <w:kern w:val="0"/>
          <w:sz w:val="32"/>
          <w:szCs w:val="32"/>
        </w:rPr>
        <w:t>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所有考生应根据当前防控要求做好相应准备，确保</w:t>
      </w:r>
      <w:r>
        <w:rPr>
          <w:rFonts w:hint="eastAsia"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（含资格确认、</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、体检，下同）当天能顺利参加，因不符合防控要求不能参加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上午7:30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:7：40起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8:10</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lang w:eastAsia="zh-CN"/>
        </w:rPr>
        <w:t>（三）</w:t>
      </w:r>
      <w:r>
        <w:rPr>
          <w:rFonts w:hint="default" w:ascii="楷体_GB2312" w:hAnsi="楷体_GB2312" w:eastAsia="楷体_GB2312" w:cs="楷体_GB2312"/>
          <w:b w:val="0"/>
          <w:bCs w:val="0"/>
          <w:color w:val="000000"/>
          <w:kern w:val="0"/>
          <w:sz w:val="32"/>
          <w:szCs w:val="32"/>
        </w:rPr>
        <w:t>应急管理</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1.</w:t>
      </w:r>
      <w:r>
        <w:rPr>
          <w:rFonts w:hint="eastAsia" w:ascii="仿宋_GB2312" w:hAnsi="仿宋_GB2312" w:eastAsia="仿宋_GB2312" w:cs="仿宋_GB2312"/>
          <w:b/>
          <w:bCs w:val="0"/>
          <w:sz w:val="32"/>
          <w:szCs w:val="32"/>
        </w:rPr>
        <w:t>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2.面试</w:t>
      </w:r>
      <w:r>
        <w:rPr>
          <w:rFonts w:hint="default" w:ascii="仿宋_GB2312" w:hAnsi="仿宋_GB2312" w:eastAsia="仿宋_GB2312" w:cs="仿宋_GB2312"/>
          <w:b/>
          <w:bCs w:val="0"/>
          <w:sz w:val="32"/>
          <w:szCs w:val="32"/>
          <w:lang w:val="en-US" w:eastAsia="zh-CN"/>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3.</w:t>
      </w:r>
      <w:r>
        <w:rPr>
          <w:rFonts w:hint="default" w:ascii="仿宋_GB2312" w:hAnsi="仿宋_GB2312" w:eastAsia="仿宋_GB2312" w:cs="仿宋_GB2312"/>
          <w:b/>
          <w:bCs w:val="0"/>
          <w:sz w:val="32"/>
          <w:szCs w:val="32"/>
          <w:lang w:val="en-US" w:eastAsia="zh-CN"/>
        </w:rPr>
        <w:t>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仿宋_GB2312" w:hAnsi="仿宋_GB2312" w:eastAsia="仿宋_GB2312" w:cs="仿宋_GB2312"/>
          <w:color w:val="000000"/>
          <w:sz w:val="32"/>
          <w:szCs w:val="32"/>
          <w:lang w:eastAsia="zh-CN"/>
        </w:rPr>
        <w:t>毕节市农业农村</w:t>
      </w:r>
      <w:r>
        <w:rPr>
          <w:rFonts w:hint="eastAsia" w:ascii="仿宋_GB2312" w:hAnsi="仿宋_GB2312" w:eastAsia="仿宋_GB2312" w:cs="仿宋_GB2312"/>
          <w:color w:val="000000"/>
          <w:sz w:val="32"/>
          <w:szCs w:val="32"/>
        </w:rPr>
        <w:t>局</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lang w:eastAsia="zh-CN"/>
        </w:rPr>
        <w:t>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w:t>
      </w:r>
      <w:r>
        <w:rPr>
          <w:rFonts w:hint="eastAsia" w:ascii="Times New Roman" w:hAnsi="Times New Roman" w:eastAsia="仿宋_GB2312" w:cs="Times New Roman"/>
          <w:sz w:val="32"/>
          <w:szCs w:val="32"/>
          <w:lang w:eastAsia="zh-CN"/>
        </w:rPr>
        <w:t>活动</w:t>
      </w:r>
      <w:r>
        <w:rPr>
          <w:rFonts w:hint="default" w:ascii="Times New Roman" w:hAnsi="Times New Roman" w:eastAsia="仿宋_GB2312" w:cs="Times New Roman"/>
          <w:sz w:val="32"/>
          <w:szCs w:val="32"/>
        </w:rPr>
        <w:t>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4.落实沟通协调。活动</w:t>
      </w:r>
      <w:r>
        <w:rPr>
          <w:rFonts w:hint="eastAsia" w:ascii="Times New Roman" w:hAnsi="Times New Roman" w:eastAsia="仿宋_GB2312" w:cs="Times New Roman"/>
          <w:kern w:val="0"/>
          <w:sz w:val="32"/>
          <w:szCs w:val="32"/>
          <w:lang w:eastAsia="zh-CN"/>
        </w:rPr>
        <w:t>期间，要配足工作人员</w:t>
      </w:r>
      <w:r>
        <w:rPr>
          <w:rFonts w:hint="default" w:ascii="Times New Roman" w:hAnsi="Times New Roman" w:eastAsia="仿宋_GB2312" w:cs="Times New Roman"/>
          <w:kern w:val="0"/>
          <w:sz w:val="32"/>
          <w:szCs w:val="32"/>
        </w:rPr>
        <w:t>落实疫情防控各项工作措施，做好</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突发事件的应急处置工作，保障</w:t>
      </w:r>
      <w:r>
        <w:rPr>
          <w:rFonts w:hint="eastAsia" w:ascii="Times New Roman" w:hAnsi="Times New Roman" w:eastAsia="仿宋_GB2312" w:cs="Times New Roman"/>
          <w:kern w:val="0"/>
          <w:sz w:val="32"/>
          <w:szCs w:val="32"/>
          <w:lang w:eastAsia="zh-CN"/>
        </w:rPr>
        <w:t>活动</w:t>
      </w:r>
      <w:r>
        <w:rPr>
          <w:rFonts w:hint="default" w:ascii="Times New Roman" w:hAnsi="Times New Roman" w:eastAsia="仿宋_GB2312" w:cs="Times New Roman"/>
          <w:kern w:val="0"/>
          <w:sz w:val="32"/>
          <w:szCs w:val="32"/>
        </w:rPr>
        <w:t>安全、平稳、有序进行。</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rPr>
      </w:pP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5.严格落实</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测温、扫码（场所码、健康码、行程码）亮码</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佩戴口罩、</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全程疫苗接种、通风消毒</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等常态化防控措施，并安排专人做好日常防疫巡查，督促参与人员保持戴口罩、勤洗手、少聚集等个人防护措施不放松。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毕节市农业农村局</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毕节市农业农村局</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毕节市农业农村局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2022年11月2日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eastAsia="方正小标宋_GBK"/>
          <w:bCs/>
          <w:spacing w:val="-20"/>
          <w:kern w:val="0"/>
          <w:sz w:val="44"/>
          <w:szCs w:val="44"/>
        </w:rPr>
        <w:t>个人防疫情况申报表</w:t>
      </w:r>
    </w:p>
    <w:tbl>
      <w:tblPr>
        <w:tblStyle w:val="8"/>
        <w:tblW w:w="5109" w:type="pct"/>
        <w:jc w:val="center"/>
        <w:tblLayout w:type="autofit"/>
        <w:tblCellMar>
          <w:top w:w="0" w:type="dxa"/>
          <w:left w:w="0" w:type="dxa"/>
          <w:bottom w:w="0" w:type="dxa"/>
          <w:right w:w="0" w:type="dxa"/>
        </w:tblCellMar>
      </w:tblPr>
      <w:tblGrid>
        <w:gridCol w:w="1305"/>
        <w:gridCol w:w="1721"/>
        <w:gridCol w:w="1092"/>
        <w:gridCol w:w="789"/>
        <w:gridCol w:w="1831"/>
        <w:gridCol w:w="848"/>
        <w:gridCol w:w="932"/>
      </w:tblGrid>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姓  名</w:t>
            </w:r>
          </w:p>
        </w:tc>
        <w:tc>
          <w:tcPr>
            <w:tcW w:w="101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64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性  别</w:t>
            </w: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年  龄</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身份证号</w:t>
            </w:r>
          </w:p>
        </w:tc>
        <w:tc>
          <w:tcPr>
            <w:tcW w:w="165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53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手机号码</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7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1"/>
                <w:szCs w:val="22"/>
              </w:rPr>
            </w:pPr>
            <w:r>
              <w:rPr>
                <w:rFonts w:hint="eastAsia" w:ascii="黑体" w:hAnsi="黑体" w:eastAsia="黑体" w:cs="黑体"/>
                <w:kern w:val="0"/>
                <w:sz w:val="21"/>
                <w:szCs w:val="22"/>
              </w:rPr>
              <w:t>工作单位</w:t>
            </w:r>
          </w:p>
        </w:tc>
        <w:tc>
          <w:tcPr>
            <w:tcW w:w="2114"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c>
          <w:tcPr>
            <w:tcW w:w="107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lang w:eastAsia="zh-CN"/>
              </w:rPr>
            </w:pPr>
            <w:r>
              <w:rPr>
                <w:rFonts w:hint="eastAsia" w:ascii="黑体" w:hAnsi="黑体" w:eastAsia="黑体" w:cs="黑体"/>
                <w:kern w:val="0"/>
                <w:sz w:val="21"/>
                <w:szCs w:val="22"/>
                <w:lang w:eastAsia="zh-CN"/>
              </w:rPr>
              <w:t>健康码颜色</w:t>
            </w:r>
          </w:p>
        </w:tc>
        <w:tc>
          <w:tcPr>
            <w:tcW w:w="104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1"/>
                <w:szCs w:val="22"/>
              </w:rPr>
            </w:pP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1"/>
                <w:szCs w:val="22"/>
              </w:rPr>
            </w:pPr>
            <w:r>
              <w:rPr>
                <w:rFonts w:hint="eastAsia" w:ascii="黑体" w:hAnsi="黑体" w:eastAsia="黑体" w:cs="黑体"/>
                <w:kern w:val="0"/>
                <w:sz w:val="22"/>
                <w:szCs w:val="22"/>
              </w:rPr>
              <w:t>活动前旅居史、健康史及接触史情况</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10</w:t>
            </w:r>
            <w:r>
              <w:rPr>
                <w:rFonts w:hint="eastAsia" w:ascii="黑体" w:hAnsi="黑体" w:eastAsia="黑体" w:cs="黑体"/>
                <w:kern w:val="0"/>
                <w:sz w:val="22"/>
                <w:szCs w:val="22"/>
              </w:rPr>
              <w:t>天</w:t>
            </w:r>
            <w:r>
              <w:rPr>
                <w:rFonts w:hint="eastAsia" w:ascii="黑体" w:hAnsi="黑体" w:eastAsia="黑体" w:cs="黑体"/>
                <w:kern w:val="0"/>
                <w:sz w:val="22"/>
                <w:szCs w:val="24"/>
              </w:rPr>
              <w:t>是否有国外</w:t>
            </w:r>
            <w:r>
              <w:rPr>
                <w:rFonts w:hint="eastAsia" w:ascii="黑体" w:hAnsi="黑体" w:eastAsia="黑体" w:cs="黑体"/>
                <w:kern w:val="0"/>
                <w:sz w:val="22"/>
                <w:szCs w:val="24"/>
                <w:lang w:eastAsia="zh-CN"/>
              </w:rPr>
              <w:t>、港、台</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2"/>
              </w:rPr>
              <w:t>活动前</w:t>
            </w:r>
            <w:r>
              <w:rPr>
                <w:rFonts w:hint="eastAsia" w:ascii="黑体" w:hAnsi="黑体" w:eastAsia="黑体" w:cs="黑体"/>
                <w:kern w:val="0"/>
                <w:sz w:val="22"/>
                <w:szCs w:val="22"/>
                <w:lang w:val="en-US" w:eastAsia="zh-CN"/>
              </w:rPr>
              <w:t>7</w:t>
            </w:r>
            <w:r>
              <w:rPr>
                <w:rFonts w:hint="eastAsia" w:ascii="黑体" w:hAnsi="黑体" w:eastAsia="黑体" w:cs="黑体"/>
                <w:kern w:val="0"/>
                <w:sz w:val="22"/>
                <w:szCs w:val="22"/>
              </w:rPr>
              <w:t>天</w:t>
            </w:r>
            <w:r>
              <w:rPr>
                <w:rFonts w:hint="eastAsia" w:ascii="黑体" w:hAnsi="黑体" w:eastAsia="黑体" w:cs="黑体"/>
                <w:kern w:val="0"/>
                <w:sz w:val="22"/>
                <w:szCs w:val="24"/>
              </w:rPr>
              <w:t>是否有</w:t>
            </w:r>
            <w:r>
              <w:rPr>
                <w:rFonts w:hint="eastAsia" w:ascii="黑体" w:hAnsi="黑体" w:eastAsia="黑体" w:cs="黑体"/>
                <w:kern w:val="0"/>
                <w:sz w:val="22"/>
                <w:szCs w:val="24"/>
                <w:lang w:eastAsia="zh-CN"/>
              </w:rPr>
              <w:t>中</w:t>
            </w:r>
            <w:r>
              <w:rPr>
                <w:rFonts w:hint="eastAsia" w:ascii="黑体" w:hAnsi="黑体" w:eastAsia="黑体" w:cs="黑体"/>
                <w:kern w:val="0"/>
                <w:sz w:val="22"/>
                <w:szCs w:val="24"/>
              </w:rPr>
              <w:t>、</w:t>
            </w:r>
            <w:r>
              <w:rPr>
                <w:rFonts w:hint="eastAsia" w:ascii="黑体" w:hAnsi="黑体" w:eastAsia="黑体" w:cs="黑体"/>
                <w:kern w:val="0"/>
                <w:sz w:val="22"/>
                <w:szCs w:val="24"/>
                <w:lang w:eastAsia="zh-CN"/>
              </w:rPr>
              <w:t>高</w:t>
            </w:r>
            <w:r>
              <w:rPr>
                <w:rFonts w:hint="eastAsia" w:ascii="黑体" w:hAnsi="黑体" w:eastAsia="黑体" w:cs="黑体"/>
                <w:kern w:val="0"/>
                <w:sz w:val="22"/>
                <w:szCs w:val="24"/>
              </w:rPr>
              <w:t>风险地区旅居史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lang w:eastAsia="zh-CN"/>
              </w:rPr>
              <w:t>天是否有本土阳性感染者报告县（市、区、旗）旅居史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color w:val="auto"/>
                <w:kern w:val="0"/>
                <w:sz w:val="22"/>
                <w:szCs w:val="24"/>
                <w:lang w:eastAsia="zh-CN"/>
              </w:rPr>
            </w:pPr>
            <w:r>
              <w:rPr>
                <w:rFonts w:hint="eastAsia" w:ascii="黑体" w:hAnsi="黑体" w:eastAsia="黑体" w:cs="黑体"/>
                <w:color w:val="auto"/>
                <w:kern w:val="0"/>
                <w:sz w:val="22"/>
                <w:szCs w:val="24"/>
                <w:lang w:eastAsia="zh-CN"/>
              </w:rPr>
              <w:t>活动</w:t>
            </w:r>
            <w:r>
              <w:rPr>
                <w:rFonts w:hint="eastAsia" w:ascii="黑体" w:hAnsi="黑体" w:eastAsia="黑体" w:cs="黑体"/>
                <w:color w:val="auto"/>
                <w:kern w:val="0"/>
                <w:sz w:val="22"/>
                <w:szCs w:val="24"/>
              </w:rPr>
              <w:t>前</w:t>
            </w:r>
            <w:r>
              <w:rPr>
                <w:rFonts w:hint="eastAsia" w:ascii="黑体" w:hAnsi="黑体" w:eastAsia="黑体" w:cs="黑体"/>
                <w:color w:val="auto"/>
                <w:kern w:val="0"/>
                <w:sz w:val="22"/>
                <w:szCs w:val="24"/>
                <w:lang w:val="en-US" w:eastAsia="zh-CN"/>
              </w:rPr>
              <w:t>7</w:t>
            </w:r>
            <w:r>
              <w:rPr>
                <w:rFonts w:hint="eastAsia" w:ascii="黑体" w:hAnsi="黑体" w:eastAsia="黑体" w:cs="黑体"/>
                <w:color w:val="auto"/>
                <w:kern w:val="0"/>
                <w:sz w:val="22"/>
                <w:szCs w:val="24"/>
              </w:rPr>
              <w:t>天</w:t>
            </w:r>
            <w:r>
              <w:rPr>
                <w:rFonts w:hint="eastAsia" w:ascii="黑体" w:hAnsi="黑体" w:eastAsia="黑体" w:cs="黑体"/>
                <w:color w:val="auto"/>
                <w:kern w:val="0"/>
                <w:sz w:val="22"/>
                <w:szCs w:val="24"/>
                <w:lang w:eastAsia="zh-CN"/>
              </w:rPr>
              <w:t>是否</w:t>
            </w:r>
            <w:r>
              <w:rPr>
                <w:rFonts w:hint="eastAsia" w:ascii="黑体" w:hAnsi="黑体" w:eastAsia="黑体" w:cs="黑体"/>
                <w:color w:val="auto"/>
                <w:kern w:val="0"/>
                <w:sz w:val="22"/>
                <w:szCs w:val="24"/>
              </w:rPr>
              <w:t>有</w:t>
            </w:r>
            <w:r>
              <w:rPr>
                <w:rFonts w:hint="eastAsia" w:ascii="黑体" w:hAnsi="黑体" w:eastAsia="黑体" w:cs="黑体"/>
                <w:color w:val="auto"/>
                <w:kern w:val="0"/>
                <w:sz w:val="22"/>
                <w:szCs w:val="24"/>
                <w:lang w:eastAsia="zh-CN"/>
              </w:rPr>
              <w:t>疫情重点地区</w:t>
            </w:r>
            <w:r>
              <w:rPr>
                <w:rFonts w:hint="eastAsia" w:ascii="黑体" w:hAnsi="黑体" w:eastAsia="黑体" w:cs="黑体"/>
                <w:color w:val="auto"/>
                <w:kern w:val="0"/>
                <w:sz w:val="22"/>
                <w:szCs w:val="24"/>
              </w:rPr>
              <w:t>旅居史</w:t>
            </w:r>
            <w:r>
              <w:rPr>
                <w:rFonts w:hint="eastAsia" w:ascii="黑体" w:hAnsi="黑体" w:eastAsia="黑体" w:cs="黑体"/>
                <w:color w:val="auto"/>
                <w:kern w:val="0"/>
                <w:sz w:val="22"/>
                <w:szCs w:val="24"/>
                <w:lang w:eastAsia="zh-CN"/>
              </w:rPr>
              <w:t>（备注具体城市）</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spacing w:val="0"/>
                <w:kern w:val="0"/>
                <w:sz w:val="22"/>
                <w:szCs w:val="24"/>
                <w:lang w:eastAsia="zh-CN"/>
              </w:rPr>
              <w:t>活动前</w:t>
            </w:r>
            <w:r>
              <w:rPr>
                <w:rFonts w:hint="eastAsia" w:ascii="黑体" w:hAnsi="黑体" w:eastAsia="黑体" w:cs="黑体"/>
                <w:spacing w:val="0"/>
                <w:kern w:val="0"/>
                <w:sz w:val="22"/>
                <w:szCs w:val="24"/>
                <w:lang w:val="en-US" w:eastAsia="zh-CN"/>
              </w:rPr>
              <w:t>3天</w:t>
            </w:r>
            <w:r>
              <w:rPr>
                <w:rFonts w:hint="eastAsia" w:ascii="黑体" w:hAnsi="黑体" w:eastAsia="黑体" w:cs="黑体"/>
                <w:spacing w:val="0"/>
                <w:kern w:val="0"/>
                <w:sz w:val="22"/>
                <w:szCs w:val="24"/>
                <w:lang w:eastAsia="zh-CN"/>
              </w:rPr>
              <w:t>是否有省外旅居史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为仍处于康复或隔离期的</w:t>
            </w:r>
            <w:r>
              <w:rPr>
                <w:rFonts w:hint="eastAsia" w:ascii="黑体" w:hAnsi="黑体" w:eastAsia="黑体" w:cs="黑体"/>
                <w:kern w:val="0"/>
                <w:sz w:val="22"/>
                <w:szCs w:val="24"/>
              </w:rPr>
              <w:t>新冠肺炎确诊病例或无症状感染者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lang w:eastAsia="zh-CN"/>
              </w:rPr>
            </w:pPr>
            <w:r>
              <w:rPr>
                <w:rFonts w:hint="eastAsia" w:ascii="黑体" w:hAnsi="黑体" w:eastAsia="黑体" w:cs="黑体"/>
                <w:kern w:val="0"/>
                <w:sz w:val="22"/>
                <w:szCs w:val="24"/>
              </w:rPr>
              <w:t>是否</w:t>
            </w:r>
            <w:r>
              <w:rPr>
                <w:rFonts w:hint="eastAsia" w:ascii="黑体" w:hAnsi="黑体" w:eastAsia="黑体" w:cs="黑体"/>
                <w:kern w:val="0"/>
                <w:sz w:val="22"/>
                <w:szCs w:val="24"/>
                <w:lang w:eastAsia="zh-CN"/>
              </w:rPr>
              <w:t>为仍处于医学隔离期的密切</w:t>
            </w:r>
            <w:r>
              <w:rPr>
                <w:rFonts w:hint="eastAsia" w:ascii="黑体" w:hAnsi="黑体" w:eastAsia="黑体" w:cs="黑体"/>
                <w:kern w:val="0"/>
                <w:sz w:val="22"/>
                <w:szCs w:val="24"/>
              </w:rPr>
              <w:t>接触</w:t>
            </w:r>
            <w:r>
              <w:rPr>
                <w:rFonts w:hint="eastAsia" w:ascii="黑体" w:hAnsi="黑体" w:eastAsia="黑体" w:cs="黑体"/>
                <w:kern w:val="0"/>
                <w:sz w:val="22"/>
                <w:szCs w:val="24"/>
                <w:lang w:eastAsia="zh-CN"/>
              </w:rPr>
              <w:t>者或次密切接触者</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2"/>
                <w:szCs w:val="24"/>
                <w:lang w:eastAsia="zh-CN"/>
              </w:rPr>
            </w:pPr>
            <w:r>
              <w:rPr>
                <w:rFonts w:hint="eastAsia" w:ascii="黑体" w:hAnsi="黑体" w:eastAsia="黑体" w:cs="黑体"/>
                <w:kern w:val="0"/>
                <w:sz w:val="22"/>
                <w:szCs w:val="24"/>
                <w:lang w:eastAsia="zh-CN"/>
              </w:rPr>
              <w:t>是否与阳性感染者同乘交通工具或活动轨迹有交集</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2"/>
                <w:szCs w:val="24"/>
                <w:lang w:val="en-US" w:eastAsia="zh-CN" w:bidi="ar-SA"/>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是否与来自中、高风险疫情地区人员有密切接触</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密切接触的家属及同事是否有发热等症状</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3955"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2"/>
                <w:szCs w:val="24"/>
              </w:rPr>
            </w:pPr>
            <w:r>
              <w:rPr>
                <w:rFonts w:hint="eastAsia" w:ascii="黑体" w:hAnsi="黑体" w:eastAsia="黑体" w:cs="黑体"/>
                <w:kern w:val="0"/>
                <w:sz w:val="22"/>
                <w:szCs w:val="24"/>
              </w:rPr>
              <w:t>密切接触的家属及同事是否有中高风险地区、港台及</w:t>
            </w:r>
            <w:r>
              <w:rPr>
                <w:rFonts w:hint="eastAsia" w:ascii="黑体" w:hAnsi="黑体" w:eastAsia="黑体" w:cs="黑体"/>
                <w:kern w:val="0"/>
                <w:sz w:val="22"/>
                <w:szCs w:val="24"/>
                <w:lang w:eastAsia="zh-CN"/>
              </w:rPr>
              <w:t>国外</w:t>
            </w:r>
            <w:r>
              <w:rPr>
                <w:rFonts w:hint="eastAsia" w:ascii="黑体" w:hAnsi="黑体" w:eastAsia="黑体" w:cs="黑体"/>
                <w:kern w:val="0"/>
                <w:sz w:val="22"/>
                <w:szCs w:val="24"/>
              </w:rPr>
              <w:t>旅居史</w:t>
            </w:r>
          </w:p>
        </w:tc>
        <w:tc>
          <w:tcPr>
            <w:tcW w:w="4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是 口</w:t>
            </w:r>
          </w:p>
        </w:tc>
        <w:tc>
          <w:tcPr>
            <w:tcW w:w="54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2"/>
                <w:szCs w:val="24"/>
              </w:rPr>
            </w:pPr>
            <w:r>
              <w:rPr>
                <w:rFonts w:hint="eastAsia" w:ascii="黑体" w:hAnsi="黑体" w:eastAsia="黑体" w:cs="黑体"/>
                <w:kern w:val="0"/>
                <w:sz w:val="22"/>
                <w:szCs w:val="24"/>
              </w:rPr>
              <w:t>否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2"/>
                <w:szCs w:val="24"/>
              </w:rPr>
            </w:pPr>
            <w:r>
              <w:rPr>
                <w:rFonts w:hint="eastAsia" w:ascii="黑体" w:hAnsi="黑体" w:eastAsia="黑体" w:cs="黑体"/>
                <w:kern w:val="0"/>
                <w:sz w:val="22"/>
                <w:szCs w:val="24"/>
              </w:rPr>
              <w:t>本人</w:t>
            </w:r>
            <w:r>
              <w:rPr>
                <w:rFonts w:hint="eastAsia" w:ascii="黑体" w:hAnsi="黑体" w:eastAsia="黑体" w:cs="黑体"/>
                <w:kern w:val="0"/>
                <w:sz w:val="22"/>
                <w:szCs w:val="24"/>
                <w:lang w:eastAsia="zh-CN"/>
              </w:rPr>
              <w:t>活动</w:t>
            </w:r>
            <w:r>
              <w:rPr>
                <w:rFonts w:hint="eastAsia" w:ascii="黑体" w:hAnsi="黑体" w:eastAsia="黑体" w:cs="黑体"/>
                <w:kern w:val="0"/>
                <w:sz w:val="22"/>
                <w:szCs w:val="24"/>
              </w:rPr>
              <w:t>前</w:t>
            </w:r>
            <w:r>
              <w:rPr>
                <w:rFonts w:hint="eastAsia" w:ascii="黑体" w:hAnsi="黑体" w:eastAsia="黑体" w:cs="黑体"/>
                <w:kern w:val="0"/>
                <w:sz w:val="22"/>
                <w:szCs w:val="24"/>
                <w:lang w:val="en-US" w:eastAsia="zh-CN"/>
              </w:rPr>
              <w:t>14</w:t>
            </w:r>
            <w:r>
              <w:rPr>
                <w:rFonts w:hint="eastAsia" w:ascii="黑体" w:hAnsi="黑体" w:eastAsia="黑体" w:cs="黑体"/>
                <w:kern w:val="0"/>
                <w:sz w:val="22"/>
                <w:szCs w:val="24"/>
              </w:rPr>
              <w:t>天健康状况：健康 口 发热 口 乏力 口 咽痛 口 咳嗽 口 腹泻 口</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新冠疫苗接种情况:口未接种       口未完成全程接种(口两剂次  口三剂次)</w:t>
            </w:r>
          </w:p>
          <w:p>
            <w:pPr>
              <w:keepNext w:val="0"/>
              <w:keepLines w:val="0"/>
              <w:pageBreakBefore w:val="0"/>
              <w:widowControl/>
              <w:kinsoku/>
              <w:wordWrap/>
              <w:overflowPunct/>
              <w:topLinePunct w:val="0"/>
              <w:autoSpaceDE/>
              <w:autoSpaceDN/>
              <w:bidi w:val="0"/>
              <w:adjustRightInd w:val="0"/>
              <w:snapToGrid w:val="0"/>
              <w:spacing w:line="400" w:lineRule="exact"/>
              <w:jc w:val="left"/>
              <w:textAlignment w:val="center"/>
              <w:rPr>
                <w:rFonts w:hint="eastAsia" w:ascii="黑体" w:hAnsi="黑体" w:eastAsia="黑体" w:cs="黑体"/>
                <w:color w:val="auto"/>
                <w:kern w:val="0"/>
                <w:sz w:val="21"/>
                <w:szCs w:val="21"/>
              </w:rPr>
            </w:pPr>
            <w:r>
              <w:rPr>
                <w:rFonts w:hint="eastAsia" w:ascii="黑体" w:hAnsi="黑体" w:eastAsia="黑体" w:cs="黑体"/>
                <w:color w:val="auto"/>
                <w:kern w:val="0"/>
                <w:sz w:val="21"/>
                <w:szCs w:val="21"/>
              </w:rPr>
              <w:t>口已全程接种(口一剂次  口两剂次  口三剂次)     口已完成加强针接种</w:t>
            </w:r>
          </w:p>
          <w:p>
            <w:pPr>
              <w:pStyle w:val="2"/>
              <w:rPr>
                <w:rFonts w:hint="eastAsia"/>
                <w:sz w:val="20"/>
                <w:szCs w:val="22"/>
              </w:rPr>
            </w:pPr>
            <w:r>
              <w:rPr>
                <w:rFonts w:hint="eastAsia" w:ascii="黑体" w:hAnsi="黑体" w:eastAsia="黑体" w:cs="黑体"/>
                <w:color w:val="auto"/>
                <w:kern w:val="0"/>
                <w:sz w:val="21"/>
                <w:szCs w:val="21"/>
              </w:rPr>
              <w:t>情况说明</w:t>
            </w:r>
            <w:r>
              <w:rPr>
                <w:rFonts w:hint="eastAsia" w:ascii="黑体" w:hAnsi="黑体" w:eastAsia="黑体" w:cs="黑体"/>
                <w:color w:val="auto"/>
                <w:kern w:val="0"/>
                <w:sz w:val="20"/>
                <w:szCs w:val="20"/>
              </w:rPr>
              <w:t>(未接种、未完成全程接种及达到加强针接种条件未进行加强针接种均需;提供接种禁忌证明</w:t>
            </w:r>
            <w:r>
              <w:rPr>
                <w:rFonts w:hint="eastAsia" w:ascii="黑体" w:hAnsi="黑体" w:eastAsia="黑体" w:cs="黑体"/>
                <w:color w:val="auto"/>
                <w:kern w:val="0"/>
                <w:sz w:val="20"/>
                <w:szCs w:val="20"/>
                <w:lang w:eastAsia="zh-CN"/>
              </w:rPr>
              <w:t>）</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sz w:val="20"/>
                <w:szCs w:val="22"/>
              </w:rPr>
            </w:pPr>
            <w:r>
              <w:rPr>
                <w:rFonts w:hint="eastAsia" w:ascii="黑体" w:hAnsi="黑体" w:eastAsia="黑体" w:cs="黑体"/>
                <w:sz w:val="22"/>
                <w:szCs w:val="28"/>
              </w:rPr>
              <w:t>其它需要说明的情况：</w:t>
            </w:r>
          </w:p>
        </w:tc>
      </w:tr>
      <w:tr>
        <w:tblPrEx>
          <w:tblCellMar>
            <w:top w:w="0" w:type="dxa"/>
            <w:left w:w="0" w:type="dxa"/>
            <w:bottom w:w="0" w:type="dxa"/>
            <w:right w:w="0" w:type="dxa"/>
          </w:tblCellMar>
        </w:tblPrEx>
        <w:trPr>
          <w:trHeight w:val="90" w:hRule="atLeast"/>
          <w:jc w:val="center"/>
        </w:trPr>
        <w:tc>
          <w:tcPr>
            <w:tcW w:w="5000" w:type="pct"/>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p>
          <w:p>
            <w:pPr>
              <w:widowControl/>
              <w:adjustRightInd w:val="0"/>
              <w:snapToGrid w:val="0"/>
              <w:spacing w:line="360" w:lineRule="exact"/>
              <w:ind w:firstLine="440" w:firstLineChars="200"/>
              <w:jc w:val="left"/>
              <w:textAlignment w:val="center"/>
              <w:rPr>
                <w:rFonts w:hint="eastAsia" w:ascii="黑体" w:hAnsi="黑体" w:eastAsia="黑体" w:cs="黑体"/>
                <w:kern w:val="0"/>
                <w:sz w:val="22"/>
                <w:szCs w:val="24"/>
              </w:rPr>
            </w:pPr>
            <w:r>
              <w:rPr>
                <w:rFonts w:hint="eastAsia" w:ascii="黑体" w:hAnsi="黑体" w:eastAsia="黑体" w:cs="黑体"/>
                <w:kern w:val="0"/>
                <w:sz w:val="22"/>
                <w:szCs w:val="24"/>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26C7714"/>
    <w:rsid w:val="037277DE"/>
    <w:rsid w:val="04ED7D8A"/>
    <w:rsid w:val="053A0327"/>
    <w:rsid w:val="05683784"/>
    <w:rsid w:val="057C3BE1"/>
    <w:rsid w:val="05D733E3"/>
    <w:rsid w:val="072ED805"/>
    <w:rsid w:val="0B4708A0"/>
    <w:rsid w:val="0E1E4016"/>
    <w:rsid w:val="0E500B56"/>
    <w:rsid w:val="0E741958"/>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A094C3F"/>
    <w:rsid w:val="1E196318"/>
    <w:rsid w:val="1EBB357D"/>
    <w:rsid w:val="20D97038"/>
    <w:rsid w:val="210071A5"/>
    <w:rsid w:val="21CB3B14"/>
    <w:rsid w:val="22445129"/>
    <w:rsid w:val="225244AE"/>
    <w:rsid w:val="22947E0F"/>
    <w:rsid w:val="239015EC"/>
    <w:rsid w:val="23CE6292"/>
    <w:rsid w:val="23F61CD8"/>
    <w:rsid w:val="24767816"/>
    <w:rsid w:val="27F32B06"/>
    <w:rsid w:val="28AD5549"/>
    <w:rsid w:val="2FAD3A6E"/>
    <w:rsid w:val="30C166B8"/>
    <w:rsid w:val="31EC59D5"/>
    <w:rsid w:val="32EA169B"/>
    <w:rsid w:val="356A0055"/>
    <w:rsid w:val="35BFC74E"/>
    <w:rsid w:val="366B661D"/>
    <w:rsid w:val="37EA7B10"/>
    <w:rsid w:val="38A20015"/>
    <w:rsid w:val="39D87645"/>
    <w:rsid w:val="3D4228CF"/>
    <w:rsid w:val="3EBF6F3D"/>
    <w:rsid w:val="3F3224C2"/>
    <w:rsid w:val="3FBF2840"/>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4F5FFCA5"/>
    <w:rsid w:val="54596C98"/>
    <w:rsid w:val="55101C5F"/>
    <w:rsid w:val="55FB3AA0"/>
    <w:rsid w:val="56D24D6C"/>
    <w:rsid w:val="56FFAD83"/>
    <w:rsid w:val="5A7F1F4B"/>
    <w:rsid w:val="5C4C63FA"/>
    <w:rsid w:val="5CA472BA"/>
    <w:rsid w:val="5E2F4D70"/>
    <w:rsid w:val="5E77978B"/>
    <w:rsid w:val="5F56518C"/>
    <w:rsid w:val="5F8121DB"/>
    <w:rsid w:val="60D109A5"/>
    <w:rsid w:val="62A37F6F"/>
    <w:rsid w:val="64AC1913"/>
    <w:rsid w:val="654A2869"/>
    <w:rsid w:val="66D663FE"/>
    <w:rsid w:val="66D75171"/>
    <w:rsid w:val="671C7D11"/>
    <w:rsid w:val="67B5A251"/>
    <w:rsid w:val="67DA2C2A"/>
    <w:rsid w:val="69940092"/>
    <w:rsid w:val="6B6802A2"/>
    <w:rsid w:val="6BA22BEA"/>
    <w:rsid w:val="6C9154F8"/>
    <w:rsid w:val="6D0A2411"/>
    <w:rsid w:val="6DF604C6"/>
    <w:rsid w:val="6E4B0A6C"/>
    <w:rsid w:val="6F026342"/>
    <w:rsid w:val="71D55CAE"/>
    <w:rsid w:val="722C21AA"/>
    <w:rsid w:val="72A97961"/>
    <w:rsid w:val="73EE0EB0"/>
    <w:rsid w:val="765E0C40"/>
    <w:rsid w:val="76D6263F"/>
    <w:rsid w:val="77104754"/>
    <w:rsid w:val="7AEE11A4"/>
    <w:rsid w:val="7BC942E0"/>
    <w:rsid w:val="7C663F54"/>
    <w:rsid w:val="7C76F53D"/>
    <w:rsid w:val="7DED32D3"/>
    <w:rsid w:val="7FDE1AD4"/>
    <w:rsid w:val="7FFA5791"/>
    <w:rsid w:val="7FFF86B9"/>
    <w:rsid w:val="85BD3C31"/>
    <w:rsid w:val="979BD145"/>
    <w:rsid w:val="9C7D3632"/>
    <w:rsid w:val="A35754D3"/>
    <w:rsid w:val="BF6FB831"/>
    <w:rsid w:val="D2F5C287"/>
    <w:rsid w:val="DD6784C3"/>
    <w:rsid w:val="DFFB396D"/>
    <w:rsid w:val="E1BF4A2B"/>
    <w:rsid w:val="EDBF0F15"/>
    <w:rsid w:val="EFCC3E94"/>
    <w:rsid w:val="EFF725DE"/>
    <w:rsid w:val="F7BFBEF9"/>
    <w:rsid w:val="FC18953B"/>
    <w:rsid w:val="FDBE65D4"/>
    <w:rsid w:val="FEAAE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2021-06-20T18:16:00Z</dcterms:created>
  <dc:creator>Lenovo</dc:creator>
  <cp:lastModifiedBy>ysgz</cp:lastModifiedBy>
  <cp:lastPrinted>2022-11-02T19:24:00Z</cp:lastPrinted>
  <dcterms:modified xsi:type="dcterms:W3CDTF">2022-11-02T17:35:38Z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46F127F1ECB542B78868D3D6BA944650</vt:lpwstr>
  </property>
  <property fmtid="{D5CDD505-2E9C-101B-9397-08002B2CF9AE}" pid="4" name="KSOSaveFontToCloudKey">
    <vt:lpwstr>401470864_btnclosed</vt:lpwstr>
  </property>
</Properties>
</file>