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color w:val="000000"/>
          <w:spacing w:val="14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14"/>
          <w:kern w:val="0"/>
          <w:sz w:val="32"/>
          <w:szCs w:val="32"/>
          <w:shd w:val="clear" w:color="auto" w:fill="FFFFFF"/>
        </w:rPr>
        <w:t>附件</w:t>
      </w:r>
    </w:p>
    <w:tbl>
      <w:tblPr>
        <w:tblStyle w:val="5"/>
        <w:tblW w:w="142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181"/>
        <w:gridCol w:w="1125"/>
        <w:gridCol w:w="1125"/>
        <w:gridCol w:w="3269"/>
        <w:gridCol w:w="5300"/>
        <w:gridCol w:w="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 xml:space="preserve"> 四川省八一康复中心（四川省康复医院）编制外医师公开招聘岗位和条件要求一览表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计划学历和人数</w:t>
            </w:r>
          </w:p>
        </w:tc>
        <w:tc>
          <w:tcPr>
            <w:tcW w:w="3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5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本科及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超声诊断医师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医学影像、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临床医学（超声方向）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取得医师资格证及医师执业证，执业范围为医学影像，取得超声规培证者优先；能够熟练掌握常见病及多发病的超声诊断，能够独立完成值班。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涌泉康复延伸点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康复治疗师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康复相关专业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3年以上三级医院盆底康复治疗经验，能独立完成偏瘫、脊髓损伤、老年相关性盆底疾病的康复治疗；熟悉常规的盆底治疗设备，并能熟练操作，能独立开展业务。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内科医师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老年医学专业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取得规培证。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  <w:t>中医康复中心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  <w:t>住院医师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针灸推拿学专业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取得执业医师证，取得规培证；科研能力突出者优先；住院医师。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神经外科医师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神经外科或康复医学方向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30岁以下，规培结业，有执业医师资格证。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计划学历和人数</w:t>
            </w:r>
          </w:p>
        </w:tc>
        <w:tc>
          <w:tcPr>
            <w:tcW w:w="3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5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本科及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口腔科医师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口腔医学专业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取得执业医师证，取得规培证。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医学影像科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诊断医师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医学影像学、放射医学、影像医学与核医学等相关专业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取得医师资格证，取得规培证；能够胜任DR、CT、MRI影像诊断工作；有三级医院工作经历、具备科研基础、CT/MRI能力考评合格者优先。尽快到岗。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widowControl/>
        <w:spacing w:line="580" w:lineRule="exact"/>
        <w:rPr>
          <w:rFonts w:ascii="黑体" w:hAnsi="黑体" w:eastAsia="黑体" w:cs="黑体"/>
          <w:color w:val="000000"/>
          <w:spacing w:val="14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pgSz w:w="16838" w:h="11906" w:orient="landscape"/>
      <w:pgMar w:top="1644" w:right="1984" w:bottom="1417" w:left="1587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中國龍粗黑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郭沫若字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华康黑体W7长汉音下2U">
    <w:panose1 w:val="020B0700000000000000"/>
    <w:charset w:val="86"/>
    <w:family w:val="auto"/>
    <w:pitch w:val="default"/>
    <w:sig w:usb0="00000001" w:usb1="08010000" w:usb2="0000001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色空心简体终极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风帆特色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行书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隶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艺体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花瓣體">
    <w:panose1 w:val="020B0602010101010101"/>
    <w:charset w:val="88"/>
    <w:family w:val="auto"/>
    <w:pitch w:val="default"/>
    <w:sig w:usb0="00000003" w:usb1="28880000" w:usb2="00000006" w:usb3="00000000" w:csb0="00100000" w:csb1="00000000"/>
  </w:font>
  <w:font w:name="方正兰亭中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中粗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纤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佛君包装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正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流行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经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書法家豪楷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圆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宋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书宋一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段宁毛笔行书(修订版）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仿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书宋一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哈哈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大宋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大隶书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大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大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mM1NjYxZTU0ODJlM2QyNTMwOTRhNTFhZTZhNmYifQ=="/>
  </w:docVars>
  <w:rsids>
    <w:rsidRoot w:val="00000000"/>
    <w:rsid w:val="04C058DD"/>
    <w:rsid w:val="134A315B"/>
    <w:rsid w:val="13F57B6C"/>
    <w:rsid w:val="15E60D97"/>
    <w:rsid w:val="17343A50"/>
    <w:rsid w:val="184E0FA9"/>
    <w:rsid w:val="18594754"/>
    <w:rsid w:val="1AC60B16"/>
    <w:rsid w:val="1F06438B"/>
    <w:rsid w:val="358C3E1D"/>
    <w:rsid w:val="3A045002"/>
    <w:rsid w:val="432E630E"/>
    <w:rsid w:val="43B911F9"/>
    <w:rsid w:val="58B65D07"/>
    <w:rsid w:val="5AF32768"/>
    <w:rsid w:val="5C67283A"/>
    <w:rsid w:val="5C880946"/>
    <w:rsid w:val="5CD728D9"/>
    <w:rsid w:val="696A6B77"/>
    <w:rsid w:val="6E1A69AE"/>
    <w:rsid w:val="6E82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1627</Words>
  <Characters>1713</Characters>
  <Paragraphs>164</Paragraphs>
  <TotalTime>14</TotalTime>
  <ScaleCrop>false</ScaleCrop>
  <LinksUpToDate>false</LinksUpToDate>
  <CharactersWithSpaces>1727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暴躁刚</cp:lastModifiedBy>
  <cp:lastPrinted>2022-10-19T05:58:00Z</cp:lastPrinted>
  <dcterms:modified xsi:type="dcterms:W3CDTF">2022-10-20T06:44:42Z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58A3CB371F774F4FA49D281B62A991BB</vt:lpwstr>
  </property>
</Properties>
</file>