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71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spacing w:line="460" w:lineRule="exact"/>
        <w:ind w:right="1710"/>
        <w:rPr>
          <w:rFonts w:hint="eastAsia" w:ascii="仿宋" w:hAnsi="仿宋" w:eastAsia="仿宋"/>
          <w:sz w:val="30"/>
          <w:szCs w:val="30"/>
        </w:rPr>
      </w:pPr>
    </w:p>
    <w:p>
      <w:pPr>
        <w:spacing w:line="460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惠州市第二人民医院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第七批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公开招聘工作人员职位表</w:t>
      </w:r>
    </w:p>
    <w:bookmarkEnd w:id="0"/>
    <w:tbl>
      <w:tblPr>
        <w:tblStyle w:val="4"/>
        <w:tblpPr w:leftFromText="180" w:rightFromText="180" w:vertAnchor="text" w:horzAnchor="page" w:tblpXSpec="center" w:tblpY="4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72"/>
        <w:gridCol w:w="698"/>
        <w:gridCol w:w="889"/>
        <w:gridCol w:w="888"/>
        <w:gridCol w:w="891"/>
        <w:gridCol w:w="4022"/>
        <w:gridCol w:w="226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4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  <w:t>资质</w:t>
            </w:r>
          </w:p>
        </w:tc>
        <w:tc>
          <w:tcPr>
            <w:tcW w:w="17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放射科医师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4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临床医学（B100301）、医学影像学（B100303）、放射医学（B100306）、放射医学（A100106）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具有医师资格证、执业证，执业范围为医学影像和放射治疗专业。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具有规培证者或有相关工作经验者优先。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4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药学（B101001）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药师及以上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资格证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具有三级医院工作经验者优先。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精神科医师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5周岁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4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临床医学（B100301）、精神医学（B100305）、精神病与精神卫生学（A100205）、精神病与精神卫生学硕士（专业硕士（A100223）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具有执业医师资格证，执业范围为精神卫生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或规培专业为精神科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  <w:t>规培证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见习精神科医师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4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临床医学（B100301）、精神医学（B100305）、精神病与精神卫生学（A100205）、精神病与精神卫生学硕士（专业硕士（A100223）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2022年应届毕业生（含择业期）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0DD8"/>
    <w:rsid w:val="4DC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2022-10-14T08:05:00Z</dcterms:created>
  <dc:creator>20</dc:creator>
  <cp:lastModifiedBy>20</cp:lastModifiedBy>
  <dcterms:modified xsi:type="dcterms:W3CDTF">2022-10-14T08:05:54Z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