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附件1</w:t>
      </w:r>
      <w:bookmarkStart w:id="0" w:name="_GoBack"/>
      <w:bookmarkEnd w:id="0"/>
    </w:p>
    <w:p>
      <w:pPr>
        <w:keepNext w:val="0"/>
        <w:keepLines w:val="0"/>
        <w:widowControl w:val="0"/>
        <w:suppressLineNumbers w:val="0"/>
        <w:spacing w:before="0" w:beforeAutospacing="0" w:after="0" w:afterAutospacing="0" w:line="580" w:lineRule="exact"/>
        <w:ind w:left="0" w:right="0"/>
        <w:jc w:val="both"/>
        <w:rPr>
          <w:rFonts w:hint="eastAsia" w:ascii="仿宋_GB2312" w:hAnsi="仿宋_GB2312" w:eastAsia="仿宋_GB2312" w:cs="仿宋_GB2312"/>
          <w:kern w:val="0"/>
          <w:sz w:val="32"/>
          <w:szCs w:val="32"/>
          <w:lang w:val="en-US"/>
        </w:rPr>
      </w:pPr>
    </w:p>
    <w:p>
      <w:pPr>
        <w:keepNext w:val="0"/>
        <w:keepLines w:val="0"/>
        <w:widowControl w:val="0"/>
        <w:suppressLineNumbers w:val="0"/>
        <w:spacing w:before="0" w:beforeAutospacing="0" w:after="0" w:afterAutospacing="0" w:line="580" w:lineRule="exact"/>
        <w:ind w:left="0" w:right="0"/>
        <w:jc w:val="center"/>
        <w:rPr>
          <w:rFonts w:hint="eastAsia" w:ascii="方正小标宋简体" w:hAnsi="方正小标宋简体" w:eastAsia="方正小标宋简体" w:cs="方正小标宋简体"/>
          <w:kern w:val="0"/>
          <w:sz w:val="36"/>
          <w:szCs w:val="36"/>
          <w:lang w:val="en-US"/>
        </w:rPr>
      </w:pPr>
      <w:r>
        <w:rPr>
          <w:rFonts w:hint="eastAsia" w:ascii="方正小标宋简体" w:hAnsi="方正小标宋简体" w:eastAsia="方正小标宋简体" w:cs="方正小标宋简体"/>
          <w:kern w:val="0"/>
          <w:sz w:val="36"/>
          <w:szCs w:val="36"/>
          <w:lang w:val="en-US" w:eastAsia="zh-CN" w:bidi="ar"/>
        </w:rPr>
        <w:t>2022年度潮州市高校毕业生就业基层公共就业创业服务岗位招募岗位及审核地点、咨询电话</w:t>
      </w:r>
    </w:p>
    <w:p>
      <w:pPr>
        <w:keepNext w:val="0"/>
        <w:keepLines w:val="0"/>
        <w:widowControl w:val="0"/>
        <w:suppressLineNumbers w:val="0"/>
        <w:spacing w:before="0" w:beforeAutospacing="0" w:after="0" w:afterAutospacing="0" w:line="580" w:lineRule="exact"/>
        <w:ind w:left="0" w:right="0"/>
        <w:jc w:val="center"/>
        <w:rPr>
          <w:rFonts w:hint="eastAsia" w:ascii="方正小标宋简体" w:hAnsi="方正小标宋简体" w:eastAsia="方正小标宋简体" w:cs="方正小标宋简体"/>
          <w:kern w:val="0"/>
          <w:sz w:val="36"/>
          <w:szCs w:val="36"/>
          <w:lang w:val="en-US"/>
        </w:rPr>
      </w:pPr>
    </w:p>
    <w:tbl>
      <w:tblPr>
        <w:tblStyle w:val="5"/>
        <w:tblW w:w="917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fixed"/>
        <w:tblCellMar>
          <w:top w:w="0" w:type="dxa"/>
          <w:left w:w="108" w:type="dxa"/>
          <w:bottom w:w="0" w:type="dxa"/>
          <w:right w:w="108" w:type="dxa"/>
        </w:tblCellMar>
      </w:tblPr>
      <w:tblGrid>
        <w:gridCol w:w="679"/>
        <w:gridCol w:w="3281"/>
        <w:gridCol w:w="749"/>
        <w:gridCol w:w="3243"/>
        <w:gridCol w:w="12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fixed"/>
          <w:tblCellMar>
            <w:top w:w="0" w:type="dxa"/>
            <w:left w:w="108" w:type="dxa"/>
            <w:bottom w:w="0" w:type="dxa"/>
            <w:right w:w="108" w:type="dxa"/>
          </w:tblCellMar>
        </w:tblPrEx>
        <w:trPr>
          <w:trHeight w:val="926"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序号</w:t>
            </w:r>
          </w:p>
        </w:tc>
        <w:tc>
          <w:tcPr>
            <w:tcW w:w="3284"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招募岗位</w:t>
            </w:r>
          </w:p>
        </w:tc>
        <w:tc>
          <w:tcPr>
            <w:tcW w:w="75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招募人数</w:t>
            </w:r>
          </w:p>
        </w:tc>
        <w:tc>
          <w:tcPr>
            <w:tcW w:w="324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审核地点</w:t>
            </w:r>
          </w:p>
        </w:tc>
        <w:tc>
          <w:tcPr>
            <w:tcW w:w="12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320" w:lineRule="exact"/>
              <w:ind w:left="0" w:firstLine="0"/>
              <w:jc w:val="center"/>
              <w:rPr>
                <w:rFonts w:hint="eastAsia" w:ascii="黑体" w:hAnsi="宋体" w:eastAsia="黑体" w:cs="黑体"/>
                <w:bCs/>
                <w:sz w:val="22"/>
                <w:szCs w:val="22"/>
                <w:bdr w:val="none" w:color="auto" w:sz="0" w:space="0"/>
                <w:lang w:val="en-US"/>
              </w:rPr>
            </w:pPr>
            <w:r>
              <w:rPr>
                <w:rFonts w:hint="eastAsia" w:ascii="黑体" w:hAnsi="宋体" w:eastAsia="黑体" w:cs="黑体"/>
                <w:bCs/>
                <w:sz w:val="22"/>
                <w:szCs w:val="22"/>
                <w:bdr w:val="none" w:color="auto" w:sz="0" w:space="0"/>
              </w:rPr>
              <w:t>咨询电话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tblLayout w:type="fixed"/>
          <w:tblCellMar>
            <w:top w:w="0" w:type="dxa"/>
            <w:left w:w="108" w:type="dxa"/>
            <w:bottom w:w="0" w:type="dxa"/>
            <w:right w:w="108" w:type="dxa"/>
          </w:tblCellMar>
        </w:tblPrEx>
        <w:trPr>
          <w:trHeight w:val="919"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1</w:t>
            </w:r>
          </w:p>
        </w:tc>
        <w:tc>
          <w:tcPr>
            <w:tcW w:w="3284"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潮州市就业服务管理局</w:t>
            </w:r>
          </w:p>
        </w:tc>
        <w:tc>
          <w:tcPr>
            <w:tcW w:w="75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4</w:t>
            </w:r>
          </w:p>
        </w:tc>
        <w:tc>
          <w:tcPr>
            <w:tcW w:w="324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潮州市新洋路中段</w:t>
            </w:r>
            <w:r>
              <w:rPr>
                <w:rFonts w:hint="eastAsia" w:ascii="仿宋_GB2312" w:hAnsi="仿宋_GB2312" w:eastAsia="仿宋_GB2312" w:cs="仿宋_GB2312"/>
                <w:sz w:val="24"/>
                <w:szCs w:val="24"/>
                <w:bdr w:val="none" w:color="auto" w:sz="0" w:space="0"/>
                <w:lang w:val="en-US"/>
              </w:rPr>
              <w:t>378</w:t>
            </w:r>
            <w:r>
              <w:rPr>
                <w:rFonts w:hint="eastAsia" w:ascii="仿宋_GB2312" w:hAnsi="仿宋_GB2312" w:eastAsia="仿宋_GB2312" w:cs="仿宋_GB2312"/>
                <w:sz w:val="24"/>
                <w:szCs w:val="24"/>
                <w:bdr w:val="none" w:color="auto" w:sz="0" w:space="0"/>
              </w:rPr>
              <w:t>号市人社局一楼就业服务管理局</w:t>
            </w:r>
          </w:p>
        </w:tc>
        <w:tc>
          <w:tcPr>
            <w:tcW w:w="12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2129161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5"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2</w:t>
            </w:r>
          </w:p>
        </w:tc>
        <w:tc>
          <w:tcPr>
            <w:tcW w:w="3284"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潮安区劳动就业服务管理中心和镇街人社服务平台</w:t>
            </w:r>
          </w:p>
        </w:tc>
        <w:tc>
          <w:tcPr>
            <w:tcW w:w="75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9</w:t>
            </w:r>
          </w:p>
        </w:tc>
        <w:tc>
          <w:tcPr>
            <w:tcW w:w="324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潮安区新安大道（原潮汕公路）旁人力资源市场大楼一楼</w:t>
            </w:r>
          </w:p>
        </w:tc>
        <w:tc>
          <w:tcPr>
            <w:tcW w:w="12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5811359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3</w:t>
            </w:r>
          </w:p>
        </w:tc>
        <w:tc>
          <w:tcPr>
            <w:tcW w:w="3284"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饶平县就业服务中心和镇街人社服务平台</w:t>
            </w:r>
          </w:p>
        </w:tc>
        <w:tc>
          <w:tcPr>
            <w:tcW w:w="75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9</w:t>
            </w:r>
          </w:p>
        </w:tc>
        <w:tc>
          <w:tcPr>
            <w:tcW w:w="324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饶平县黄冈镇新港西路</w:t>
            </w:r>
            <w:r>
              <w:rPr>
                <w:rFonts w:hint="eastAsia" w:ascii="仿宋_GB2312" w:hAnsi="仿宋_GB2312" w:eastAsia="仿宋_GB2312" w:cs="仿宋_GB2312"/>
                <w:sz w:val="24"/>
                <w:szCs w:val="24"/>
                <w:bdr w:val="none" w:color="auto" w:sz="0" w:space="0"/>
                <w:lang w:val="en-US"/>
              </w:rPr>
              <w:t>14-16</w:t>
            </w:r>
            <w:r>
              <w:rPr>
                <w:rFonts w:hint="eastAsia" w:ascii="仿宋_GB2312" w:hAnsi="仿宋_GB2312" w:eastAsia="仿宋_GB2312" w:cs="仿宋_GB2312"/>
                <w:sz w:val="24"/>
                <w:szCs w:val="24"/>
                <w:bdr w:val="none" w:color="auto" w:sz="0" w:space="0"/>
              </w:rPr>
              <w:t>号县人社局就业股</w:t>
            </w:r>
          </w:p>
        </w:tc>
        <w:tc>
          <w:tcPr>
            <w:tcW w:w="12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8869355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4</w:t>
            </w:r>
          </w:p>
        </w:tc>
        <w:tc>
          <w:tcPr>
            <w:tcW w:w="3284"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湘桥区就业服务管理办公室和镇街人社服务平台</w:t>
            </w:r>
          </w:p>
        </w:tc>
        <w:tc>
          <w:tcPr>
            <w:tcW w:w="75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9</w:t>
            </w:r>
          </w:p>
        </w:tc>
        <w:tc>
          <w:tcPr>
            <w:tcW w:w="324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湘桥区政府一楼区人社局</w:t>
            </w:r>
          </w:p>
        </w:tc>
        <w:tc>
          <w:tcPr>
            <w:tcW w:w="12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2207479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jc w:val="center"/>
        </w:trPr>
        <w:tc>
          <w:tcPr>
            <w:tcW w:w="68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5</w:t>
            </w:r>
          </w:p>
        </w:tc>
        <w:tc>
          <w:tcPr>
            <w:tcW w:w="3284"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枫溪区劳动就业管理服务中心和镇街人社服务平台</w:t>
            </w:r>
          </w:p>
        </w:tc>
        <w:tc>
          <w:tcPr>
            <w:tcW w:w="750"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2</w:t>
            </w:r>
          </w:p>
        </w:tc>
        <w:tc>
          <w:tcPr>
            <w:tcW w:w="3246"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jc w:val="center"/>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rPr>
              <w:t>枫溪区长德路与绿榕西路交汇处人社局二楼</w:t>
            </w:r>
          </w:p>
        </w:tc>
        <w:tc>
          <w:tcPr>
            <w:tcW w:w="1227" w:type="dxa"/>
            <w:tcBorders>
              <w:top w:val="single" w:color="auto" w:sz="2" w:space="0"/>
              <w:left w:val="single" w:color="auto" w:sz="2" w:space="0"/>
              <w:bottom w:val="single" w:color="auto" w:sz="2" w:space="0"/>
              <w:right w:val="single" w:color="auto" w:sz="2" w:space="0"/>
            </w:tcBorders>
            <w:shd w:val="clear"/>
            <w:vAlign w:val="center"/>
          </w:tcPr>
          <w:p>
            <w:pPr>
              <w:pStyle w:val="4"/>
              <w:widowControl/>
              <w:adjustRightInd w:val="0"/>
              <w:snapToGrid w:val="0"/>
              <w:spacing w:line="480" w:lineRule="exact"/>
              <w:ind w:left="0" w:firstLine="0"/>
              <w:rPr>
                <w:rFonts w:hint="eastAsia" w:ascii="仿宋_GB2312" w:hAnsi="仿宋_GB2312" w:eastAsia="仿宋_GB2312" w:cs="仿宋_GB2312"/>
                <w:sz w:val="24"/>
                <w:szCs w:val="24"/>
                <w:bdr w:val="none" w:color="auto" w:sz="0" w:space="0"/>
                <w:lang w:val="en-US"/>
              </w:rPr>
            </w:pPr>
            <w:r>
              <w:rPr>
                <w:rFonts w:hint="eastAsia" w:ascii="仿宋_GB2312" w:hAnsi="仿宋_GB2312" w:eastAsia="仿宋_GB2312" w:cs="仿宋_GB2312"/>
                <w:sz w:val="24"/>
                <w:szCs w:val="24"/>
                <w:bdr w:val="none" w:color="auto" w:sz="0" w:space="0"/>
                <w:lang w:val="en-US"/>
              </w:rPr>
              <w:t>6899658</w:t>
            </w:r>
          </w:p>
        </w:tc>
      </w:tr>
    </w:tbl>
    <w:p>
      <w:pPr>
        <w:keepNext w:val="0"/>
        <w:keepLines w:val="0"/>
        <w:widowControl w:val="0"/>
        <w:suppressLineNumbers w:val="0"/>
        <w:spacing w:before="0" w:beforeAutospacing="0" w:after="0" w:afterAutospacing="0"/>
        <w:ind w:left="0" w:right="0"/>
        <w:jc w:val="both"/>
        <w:rPr>
          <w:rFonts w:hint="eastAsia" w:ascii="黑体" w:hAnsi="宋体" w:eastAsia="黑体" w:cs="黑体"/>
          <w:sz w:val="32"/>
          <w:szCs w:val="32"/>
          <w:shd w:val="clear" w:fill="FFFFFF"/>
          <w:lang w:val="en-US"/>
        </w:rPr>
      </w:pPr>
      <w:r>
        <w:rPr>
          <w:rFonts w:hint="eastAsia" w:ascii="仿宋_GB2312" w:hAnsi="仿宋_GB2312" w:eastAsia="仿宋_GB2312" w:cs="仿宋_GB2312"/>
          <w:sz w:val="32"/>
          <w:szCs w:val="32"/>
          <w:lang w:val="en-US" w:eastAsia="zh-CN" w:bidi="ar"/>
        </w:rPr>
        <w:br w:type="page"/>
      </w:r>
      <w:r>
        <w:rPr>
          <w:rFonts w:hint="eastAsia" w:ascii="仿宋_GB2312" w:hAnsi="仿宋_GB2312" w:eastAsia="仿宋_GB2312" w:cs="仿宋_GB2312"/>
          <w:kern w:val="2"/>
          <w:sz w:val="32"/>
          <w:szCs w:val="32"/>
          <w:shd w:val="clear" w:fill="FFFFFF"/>
          <w:lang w:val="en-US" w:eastAsia="zh-CN" w:bidi="ar"/>
        </w:rPr>
        <w:t>附件2</w:t>
      </w:r>
    </w:p>
    <w:p>
      <w:pPr>
        <w:keepNext w:val="0"/>
        <w:keepLines w:val="0"/>
        <w:widowControl w:val="0"/>
        <w:suppressLineNumbers w:val="0"/>
        <w:adjustRightIn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shd w:val="clear" w:fill="FFFFFF"/>
          <w:lang w:val="en-US"/>
        </w:rPr>
      </w:pPr>
    </w:p>
    <w:p>
      <w:pPr>
        <w:keepNext w:val="0"/>
        <w:keepLines w:val="0"/>
        <w:widowControl w:val="0"/>
        <w:suppressLineNumbers w:val="0"/>
        <w:adjustRightIn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shd w:val="clear" w:fill="FFFFFF"/>
          <w:lang w:val="en-US"/>
        </w:rPr>
      </w:pPr>
      <w:r>
        <w:rPr>
          <w:rFonts w:hint="eastAsia" w:ascii="方正小标宋简体" w:hAnsi="方正小标宋简体" w:eastAsia="方正小标宋简体" w:cs="方正小标宋简体"/>
          <w:kern w:val="2"/>
          <w:sz w:val="44"/>
          <w:szCs w:val="44"/>
          <w:shd w:val="clear" w:fill="FFFFFF"/>
          <w:lang w:val="en-US" w:eastAsia="zh-CN" w:bidi="ar"/>
        </w:rPr>
        <w:t>2022年度潮州市高校毕业生就业基层公共</w:t>
      </w:r>
    </w:p>
    <w:p>
      <w:pPr>
        <w:keepNext w:val="0"/>
        <w:keepLines w:val="0"/>
        <w:widowControl w:val="0"/>
        <w:suppressLineNumbers w:val="0"/>
        <w:adjustRightIn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shd w:val="clear" w:fill="FFFFFF"/>
          <w:lang w:val="en-US"/>
        </w:rPr>
      </w:pPr>
      <w:r>
        <w:rPr>
          <w:rFonts w:hint="eastAsia" w:ascii="方正小标宋简体" w:hAnsi="方正小标宋简体" w:eastAsia="方正小标宋简体" w:cs="方正小标宋简体"/>
          <w:kern w:val="2"/>
          <w:sz w:val="44"/>
          <w:szCs w:val="44"/>
          <w:shd w:val="clear" w:fill="FFFFFF"/>
          <w:lang w:val="en-US" w:eastAsia="zh-CN" w:bidi="ar"/>
        </w:rPr>
        <w:t>就业创业服务岗位招募考生疫情防控须知</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方正仿宋简体" w:hAnsi="方正仿宋简体" w:eastAsia="方正仿宋简体" w:cs="方正仿宋简体"/>
          <w:sz w:val="32"/>
          <w:szCs w:val="32"/>
          <w:lang w:val="en-US"/>
        </w:rPr>
      </w:pPr>
      <w:r>
        <w:rPr>
          <w:rFonts w:hint="eastAsia" w:ascii="仿宋_GB2312" w:hAnsi="仿宋_GB2312" w:eastAsia="仿宋_GB2312" w:cs="仿宋_GB2312"/>
          <w:kern w:val="2"/>
          <w:sz w:val="32"/>
          <w:szCs w:val="32"/>
          <w:lang w:val="en-US" w:eastAsia="zh-CN" w:bidi="ar"/>
        </w:rPr>
        <w:t>为保障广大考生和考务工作人员身体健康和安全，请所有考生知悉、理解、配合、支持考试防疫的措施和要求。</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一、考生分类管理</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（一）正常参加考试</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粤康码为绿码，有考前（以开考时间为准，下同）48小时内核酸检测阴性证明（电子、纸质同等效力，下同），现场测量体温正常（体温&lt;37.3℃），且不存在下述不得参加考试情况的考生。</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（二）不得参加考试</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1.正处于隔离治疗期的确诊病例、无症状感染者，隔离期未满的密切接触者、密切接触者的密切接触者，以及其他正处于集中隔离、居家隔离、居家健康监测的考生；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2.考前10天内，有国外或港台地区旅居史的考生；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3.考前7天内，有中、高风险区旅居史的考生；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4.考前7天内，有低风险区旅居史且未完成“3天2检”的考生；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5.粤康码为红码或黄码的考生；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6.不能提供考前48小时内核酸检测阴性证明的考生；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7.现场测量体温不正常（体温≥37.3℃），在临时观察区适当休息后使用水银体温计再次测量体温仍然不正常的考生；</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8.其他不符合正常参加考试情况的考生。</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二、考前准备事项</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（一）通过粤康码申报健康状况</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（二）考生须按要求提前准备考前48小时内核酸检测阴性证明。</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（三）考生需自备一次性使用医用口罩或以上级别口罩。</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（四）提前做好出行安排</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注：①各地具体疫情防控政策可在微信“国务院客户端”小程序—便民服务“各地防控政策”栏目查询。</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②全国高、中、低风险区可在微信“国务院客户端”小程序—便民服务“疫情风险查询”栏目查询。</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2.考生应提前了解考点入口位置和前往路线。</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3.因考点内疫情防控管理要求，社会车辆禁止进入考点。</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4.在考点门口入场时，提前准备好身份证、准考证、粤康码、考前48小时内的核酸检测阴性证明。</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三、考试期间义务</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（一）配合和服从防疫管理</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1.所有考生在考点期间务必全程规范佩戴口罩，进行身份核验时须摘除口罩。</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2.自觉配合完成检测流程后经规定通道前往考场，在规定区域活动，考后及时离开。</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3.如有相应症状或经检测发现有异常情况的，要服从考务人员管理，接受“不得参加考试”“安排到隔离考场考试”等相关处置。</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楷体_GB2312" w:hAnsi="楷体_GB2312" w:eastAsia="楷体_GB2312" w:cs="楷体_GB2312"/>
          <w:sz w:val="32"/>
          <w:szCs w:val="32"/>
          <w:lang w:val="en-US"/>
        </w:rPr>
      </w:pPr>
      <w:r>
        <w:rPr>
          <w:rFonts w:hint="eastAsia" w:ascii="楷体_GB2312" w:hAnsi="楷体_GB2312" w:eastAsia="楷体_GB2312" w:cs="楷体_GB2312"/>
          <w:kern w:val="2"/>
          <w:sz w:val="32"/>
          <w:szCs w:val="32"/>
          <w:lang w:val="en-US" w:eastAsia="zh-CN" w:bidi="ar"/>
        </w:rPr>
        <w:t>（二）关注身体状况</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考试期间考生出现发热（体温≥37.3℃）、咳嗽、乏力等不适症状，应及时报告并自觉服从考务人员管理，由卫生防疫人员研判是否可继续参加考试。</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四、有关要求</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（一）考生应认真阅读本防控须知和《2022年度潮州市高校毕业生就业基层公共就业创业服务岗位招募考生疫情防控承诺书》（附后）。</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五、其他事项</w:t>
      </w:r>
    </w:p>
    <w:p>
      <w:pPr>
        <w:keepNext w:val="0"/>
        <w:keepLines w:val="0"/>
        <w:widowControl w:val="0"/>
        <w:suppressLineNumbers w:val="0"/>
        <w:adjustRightInd w:val="0"/>
        <w:snapToGrid w:val="0"/>
        <w:spacing w:before="0" w:beforeAutospacing="0" w:after="0" w:afterAutospacing="0" w:line="520" w:lineRule="exact"/>
        <w:ind w:left="0" w:right="0" w:firstLine="640" w:firstLineChars="200"/>
        <w:jc w:val="both"/>
        <w:rPr>
          <w:rFonts w:hint="default" w:ascii="Times New Roman" w:hAnsi="Times New Roman" w:eastAsia="方正仿宋简体" w:cs="方正仿宋简体"/>
          <w:sz w:val="32"/>
          <w:szCs w:val="32"/>
          <w:lang w:val="en-US"/>
        </w:rPr>
      </w:pPr>
      <w:r>
        <w:rPr>
          <w:rFonts w:hint="eastAsia" w:ascii="仿宋_GB2312" w:hAnsi="仿宋_GB2312" w:eastAsia="仿宋_GB2312" w:cs="仿宋_GB2312"/>
          <w:kern w:val="2"/>
          <w:sz w:val="32"/>
          <w:szCs w:val="32"/>
          <w:lang w:val="en-US" w:eastAsia="zh-CN" w:bidi="ar"/>
        </w:rPr>
        <w:t>因疫情存在动态变化，疫情防控工作要求也将作出相应调整。如考前出现新的疫情变化，将及时发布最新疫情防控要求。</w:t>
      </w:r>
    </w:p>
    <w:p>
      <w:pPr>
        <w:keepNext w:val="0"/>
        <w:keepLines w:val="0"/>
        <w:widowControl w:val="0"/>
        <w:suppressLineNumbers w:val="0"/>
        <w:adjustRightInd w:val="0"/>
        <w:snapToGrid w:val="0"/>
        <w:spacing w:before="0" w:beforeAutospacing="0" w:after="0" w:afterAutospacing="0" w:line="60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附：</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sz w:val="40"/>
          <w:szCs w:val="40"/>
          <w:lang w:val="en-US"/>
        </w:rPr>
      </w:pPr>
      <w:r>
        <w:rPr>
          <w:rFonts w:hint="default" w:ascii="Times New Roman" w:hAnsi="Times New Roman" w:eastAsia="方正小标宋简体" w:cs="Times New Roman"/>
          <w:kern w:val="2"/>
          <w:sz w:val="40"/>
          <w:szCs w:val="40"/>
          <w:lang w:val="en-US" w:eastAsia="zh-CN" w:bidi="ar"/>
        </w:rPr>
        <w:t>2022</w:t>
      </w:r>
      <w:r>
        <w:rPr>
          <w:rFonts w:hint="eastAsia" w:ascii="Times New Roman" w:hAnsi="Times New Roman" w:eastAsia="方正小标宋简体" w:cs="Times New Roman"/>
          <w:kern w:val="2"/>
          <w:sz w:val="40"/>
          <w:szCs w:val="40"/>
          <w:lang w:val="en-US" w:eastAsia="zh-CN" w:bidi="ar"/>
        </w:rPr>
        <w:t>年度潮州市高校毕业生就业基层公共</w:t>
      </w:r>
    </w:p>
    <w:p>
      <w:pPr>
        <w:keepNext w:val="0"/>
        <w:keepLines w:val="0"/>
        <w:widowControl w:val="0"/>
        <w:suppressLineNumbers w:val="0"/>
        <w:adjustRightInd w:val="0"/>
        <w:snapToGrid w:val="0"/>
        <w:spacing w:before="0" w:beforeAutospacing="0" w:after="0" w:afterAutospacing="0" w:line="600" w:lineRule="exact"/>
        <w:ind w:left="0" w:right="0"/>
        <w:jc w:val="center"/>
        <w:rPr>
          <w:rFonts w:hint="default" w:ascii="Times New Roman" w:hAnsi="Times New Roman" w:eastAsia="方正小标宋简体" w:cs="Times New Roman"/>
          <w:sz w:val="40"/>
          <w:szCs w:val="40"/>
          <w:lang w:val="en-US"/>
        </w:rPr>
      </w:pPr>
      <w:r>
        <w:rPr>
          <w:rFonts w:hint="eastAsia" w:ascii="Times New Roman" w:hAnsi="Times New Roman" w:eastAsia="方正小标宋简体" w:cs="Times New Roman"/>
          <w:kern w:val="2"/>
          <w:sz w:val="40"/>
          <w:szCs w:val="40"/>
          <w:lang w:val="en-US" w:eastAsia="zh-CN" w:bidi="ar"/>
        </w:rPr>
        <w:t>就业创业服务岗位招募考生疫情防控承诺书</w:t>
      </w:r>
    </w:p>
    <w:p>
      <w:pPr>
        <w:pStyle w:val="2"/>
        <w:widowControl/>
        <w:spacing w:line="600" w:lineRule="exact"/>
        <w:rPr>
          <w:rFonts w:hint="default" w:ascii="Times New Roman" w:hAnsi="Times New Roman" w:cs="Times New Roman"/>
          <w:sz w:val="32"/>
          <w:szCs w:val="32"/>
          <w:lang w:val="en-US"/>
        </w:rPr>
      </w:pP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一、本人已认真阅读《2022年度潮州市高校毕业生就业基层公共就业创业服务岗位招募考生疫情防控须知》，知悉告知的所有事项和防疫要求。</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二、本人充分理解并遵守考试各项防疫要求，不存在任何不得参加考试的情形。</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三、本人提交和现场出示的所有防疫材料（信息）均真实、有效，积极配合和服从考试防疫相关检查和管理，不隐瞒或谎报旅居史、接触史、健康状况等疫情防控信息。</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如违反上述承诺，自愿取消考试资格，承担相应后果及法律责任。</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方正黑体简体" w:hAnsi="方正黑体简体" w:eastAsia="方正黑体简体" w:cs="方正黑体简体"/>
          <w:sz w:val="32"/>
          <w:szCs w:val="32"/>
          <w:lang w:val="en-US"/>
        </w:rPr>
      </w:pP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left"/>
        <w:rPr>
          <w:rFonts w:hint="eastAsia" w:ascii="方正黑体简体" w:hAnsi="方正黑体简体" w:eastAsia="方正黑体简体" w:cs="方正黑体简体"/>
          <w:sz w:val="32"/>
          <w:szCs w:val="32"/>
          <w:lang w:val="en-US"/>
        </w:rPr>
      </w:pPr>
    </w:p>
    <w:p>
      <w:pPr>
        <w:keepNext w:val="0"/>
        <w:keepLines w:val="0"/>
        <w:widowControl w:val="0"/>
        <w:suppressLineNumbers w:val="0"/>
        <w:adjustRightInd w:val="0"/>
        <w:snapToGrid w:val="0"/>
        <w:spacing w:before="0" w:beforeAutospacing="0" w:after="0" w:afterAutospacing="0" w:line="600" w:lineRule="exact"/>
        <w:ind w:left="0" w:right="0" w:firstLine="5440" w:firstLineChars="17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承诺人：</w:t>
      </w:r>
    </w:p>
    <w:p>
      <w:pPr>
        <w:keepNext w:val="0"/>
        <w:keepLines w:val="0"/>
        <w:widowControl w:val="0"/>
        <w:suppressLineNumbers w:val="0"/>
        <w:adjustRightInd w:val="0"/>
        <w:snapToGrid w:val="0"/>
        <w:spacing w:before="0" w:beforeAutospacing="0" w:after="0" w:afterAutospacing="0" w:line="600" w:lineRule="exact"/>
        <w:ind w:left="0" w:right="0" w:firstLine="5440" w:firstLineChars="17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日  期：</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lang w:val="en-US"/>
        </w:rPr>
      </w:pPr>
    </w:p>
    <w:p>
      <w:pPr>
        <w:keepNext w:val="0"/>
        <w:keepLines w:val="0"/>
        <w:widowControl/>
        <w:suppressLineNumbers w:val="0"/>
        <w:jc w:val="left"/>
      </w:pPr>
      <w:r>
        <w:rPr>
          <w:rFonts w:hint="eastAsia" w:ascii="仿宋_GB2312" w:hAnsi="仿宋_GB2312" w:eastAsia="仿宋_GB2312" w:cs="仿宋_GB2312"/>
          <w:kern w:val="2"/>
          <w:sz w:val="32"/>
          <w:szCs w:val="32"/>
          <w:lang w:val="en-US" w:eastAsia="zh-CN" w:bidi="ar"/>
        </w:rPr>
        <w:t>注：此页打印签名后扫描并上传</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黑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楷体_GB2312">
    <w:altName w:val="宋体"/>
    <w:panose1 w:val="00000000000000000000"/>
    <w:charset w:val="86"/>
    <w:family w:val="auto"/>
    <w:pitch w:val="default"/>
    <w:sig w:usb0="00000001" w:usb1="080E0000" w:usb2="00000000" w:usb3="00000000" w:csb0="00040000" w:csb1="00000000"/>
  </w:font>
  <w:font w:name="@方正小标宋简体">
    <w:altName w:val="宋体"/>
    <w:panose1 w:val="00000000000000000000"/>
    <w:charset w:val="86"/>
    <w:family w:val="auto"/>
    <w:pitch w:val="default"/>
    <w:sig w:usb0="00000000" w:usb1="080E0000" w:usb2="00000000" w:usb3="00000000" w:csb0="00040000" w:csb1="00000000"/>
  </w:font>
  <w:font w:name="仿宋_GB2312">
    <w:altName w:val="仿宋"/>
    <w:panose1 w:val="00000000000000000000"/>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80E0000" w:usb2="00000000" w:usb3="00000000" w:csb0="00040000" w:csb1="00000000"/>
  </w:font>
  <w:font w:name="@方正仿宋简体">
    <w:altName w:val="仿宋"/>
    <w:panose1 w:val="00000000000000000000"/>
    <w:charset w:val="86"/>
    <w:family w:val="auto"/>
    <w:pitch w:val="default"/>
    <w:sig w:usb0="00000000" w:usb1="00000000" w:usb2="00000000" w:usb3="00000000" w:csb0="00040000" w:csb1="00000000"/>
  </w:font>
  <w:font w:name="@黑体">
    <w:panose1 w:val="02010609060101010101"/>
    <w:charset w:val="86"/>
    <w:family w:val="auto"/>
    <w:pitch w:val="fixed"/>
    <w:sig w:usb0="800002BF" w:usb1="38CF7CFA" w:usb2="00000016" w:usb3="00000000" w:csb0="00040001" w:csb1="00000000"/>
  </w:font>
  <w:font w:name="楷体_GB2312">
    <w:altName w:val="楷体"/>
    <w:panose1 w:val="00000000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F7427"/>
    <w:rsid w:val="34EF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3"/>
    <w:link w:val="9"/>
    <w:uiPriority w:val="0"/>
    <w:pPr>
      <w:keepNext w:val="0"/>
      <w:keepLines w:val="0"/>
      <w:widowControl w:val="0"/>
      <w:suppressLineNumbers w:val="0"/>
      <w:spacing w:before="0" w:beforeAutospacing="0" w:after="0" w:afterAutospacing="0" w:line="400" w:lineRule="exact"/>
      <w:ind w:left="0" w:right="0"/>
      <w:jc w:val="both"/>
    </w:pPr>
    <w:rPr>
      <w:rFonts w:hint="eastAsia" w:ascii="仿宋_GB2312" w:hAnsi="Calibri" w:eastAsia="仿宋_GB2312" w:cs="Times New Roman"/>
      <w:kern w:val="2"/>
      <w:sz w:val="24"/>
      <w:szCs w:val="20"/>
      <w:lang w:val="en-US" w:eastAsia="zh-CN" w:bidi="ar"/>
    </w:rPr>
  </w:style>
  <w:style w:type="paragraph" w:styleId="3">
    <w:name w:val="Title"/>
    <w:basedOn w:val="1"/>
    <w:link w:val="8"/>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Indent"/>
    <w:basedOn w:val="1"/>
    <w:next w:val="1"/>
    <w:link w:val="7"/>
    <w:uiPriority w:val="0"/>
    <w:pPr>
      <w:keepNext w:val="0"/>
      <w:keepLines w:val="0"/>
      <w:widowControl w:val="0"/>
      <w:suppressLineNumbers w:val="0"/>
      <w:spacing w:before="0" w:beforeAutospacing="0" w:after="0" w:afterAutospacing="0"/>
      <w:ind w:left="0" w:right="0" w:firstLine="627"/>
      <w:jc w:val="both"/>
    </w:pPr>
    <w:rPr>
      <w:rFonts w:hint="default" w:ascii="Calibri" w:hAnsi="Calibri" w:eastAsia="宋体" w:cs="Times New Roman"/>
      <w:kern w:val="2"/>
      <w:sz w:val="32"/>
      <w:szCs w:val="24"/>
      <w:lang w:val="en-US" w:eastAsia="zh-CN" w:bidi="ar"/>
    </w:rPr>
  </w:style>
  <w:style w:type="character" w:customStyle="1" w:styleId="7">
    <w:name w:val="正文文本缩进 Char"/>
    <w:basedOn w:val="6"/>
    <w:link w:val="4"/>
    <w:uiPriority w:val="0"/>
    <w:rPr>
      <w:rFonts w:hint="default" w:ascii="Calibri" w:hAnsi="Calibri" w:eastAsia="宋体" w:cs="Times New Roman"/>
      <w:kern w:val="2"/>
      <w:sz w:val="32"/>
      <w:szCs w:val="24"/>
    </w:rPr>
  </w:style>
  <w:style w:type="character" w:customStyle="1" w:styleId="8">
    <w:name w:val="标题 Char"/>
    <w:basedOn w:val="6"/>
    <w:link w:val="3"/>
    <w:uiPriority w:val="0"/>
    <w:rPr>
      <w:rFonts w:ascii="Calibri Light" w:hAnsi="Calibri Light" w:eastAsia="Calibri Light" w:cs="Times New Roman"/>
      <w:b/>
      <w:kern w:val="2"/>
      <w:sz w:val="32"/>
      <w:szCs w:val="32"/>
    </w:rPr>
  </w:style>
  <w:style w:type="character" w:customStyle="1" w:styleId="9">
    <w:name w:val="正文文本 Char"/>
    <w:basedOn w:val="6"/>
    <w:link w:val="2"/>
    <w:uiPriority w:val="0"/>
    <w:rPr>
      <w:rFonts w:hint="eastAsia" w:ascii="仿宋_GB2312" w:hAnsi="Calibri" w:eastAsia="仿宋_GB2312" w:cs="Times New Roman"/>
      <w:kern w:val="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潮州市湘桥区机关及下属单位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2022-09-22T01:36:00Z</dcterms:created>
  <dc:creator>Administrator</dc:creator>
  <cp:lastModifiedBy>Administrator</cp:lastModifiedBy>
  <dcterms:modified xsi:type="dcterms:W3CDTF">2022-09-22T01:37:39Z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