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周口市中心医院</w:t>
      </w:r>
    </w:p>
    <w:p>
      <w:pPr>
        <w:keepNext w:val="0"/>
        <w:keepLines w:val="0"/>
        <w:pageBreakBefore w:val="0"/>
        <w:kinsoku/>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2022年博士研究生引进公告</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周口市中心医院根据业务发展及工作需要，现面向社会公开</w:t>
      </w:r>
      <w:r>
        <w:rPr>
          <w:rFonts w:hint="eastAsia" w:ascii="仿宋_GB2312" w:hAnsi="宋体" w:eastAsia="仿宋_GB2312" w:cs="宋体"/>
          <w:color w:val="auto"/>
          <w:kern w:val="0"/>
          <w:sz w:val="32"/>
          <w:szCs w:val="32"/>
          <w:lang w:val="en-US" w:eastAsia="zh-CN"/>
        </w:rPr>
        <w:t>引进</w:t>
      </w:r>
      <w:r>
        <w:rPr>
          <w:rFonts w:hint="eastAsia" w:ascii="仿宋_GB2312" w:hAnsi="宋体" w:eastAsia="仿宋_GB2312" w:cs="宋体"/>
          <w:color w:val="auto"/>
          <w:kern w:val="0"/>
          <w:sz w:val="32"/>
          <w:szCs w:val="32"/>
        </w:rPr>
        <w:t>博士研究生10名。招聘条件及要求如下：</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黑体" w:hAnsi="宋体" w:eastAsia="黑体" w:cs="宋体"/>
          <w:b w:val="0"/>
          <w:bCs/>
          <w:color w:val="auto"/>
          <w:kern w:val="0"/>
          <w:sz w:val="32"/>
          <w:szCs w:val="32"/>
        </w:rPr>
      </w:pPr>
      <w:r>
        <w:rPr>
          <w:rFonts w:hint="eastAsia" w:ascii="黑体" w:hAnsi="宋体" w:eastAsia="黑体" w:cs="宋体"/>
          <w:b w:val="0"/>
          <w:bCs/>
          <w:color w:val="auto"/>
          <w:kern w:val="0"/>
          <w:sz w:val="32"/>
          <w:szCs w:val="32"/>
        </w:rPr>
        <w:t>一、报名条件</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1、热爱医疗卫生事业、具有较高的政治素质和良好的道德修养、遵纪守法，身体健康;</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2、全日制西医临床专业，取得博士学历、学位证书;</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3、第一学历为全日制西医本科，硕士研究生和博士研究生阶段学位均为临床医学专业学位；</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r>
        <w:rPr>
          <w:rFonts w:ascii="仿宋_GB2312" w:hAnsi="宋体" w:eastAsia="仿宋_GB2312" w:cs="宋体"/>
          <w:color w:val="auto"/>
          <w:kern w:val="0"/>
          <w:sz w:val="32"/>
          <w:szCs w:val="32"/>
        </w:rPr>
        <w:t>本专业领域学术技术水平达到省级先进或领先水平</w:t>
      </w:r>
      <w:r>
        <w:rPr>
          <w:rFonts w:hint="eastAsia" w:ascii="仿宋_GB2312" w:hAnsi="宋体" w:eastAsia="仿宋_GB2312" w:cs="宋体"/>
          <w:color w:val="auto"/>
          <w:kern w:val="0"/>
          <w:sz w:val="32"/>
          <w:szCs w:val="32"/>
        </w:rPr>
        <w:t>者</w:t>
      </w:r>
      <w:r>
        <w:rPr>
          <w:rFonts w:ascii="仿宋_GB2312" w:hAnsi="宋体" w:eastAsia="仿宋_GB2312" w:cs="宋体"/>
          <w:color w:val="auto"/>
          <w:kern w:val="0"/>
          <w:sz w:val="32"/>
          <w:szCs w:val="32"/>
        </w:rPr>
        <w:t>优先</w:t>
      </w:r>
      <w:r>
        <w:rPr>
          <w:rFonts w:hint="eastAsia" w:ascii="仿宋_GB2312" w:hAnsi="宋体" w:eastAsia="仿宋_GB2312" w:cs="宋体"/>
          <w:color w:val="auto"/>
          <w:kern w:val="0"/>
          <w:sz w:val="32"/>
          <w:szCs w:val="32"/>
        </w:rPr>
        <w:t>（发表SCI论文2篇以上，IF≥3分）；</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5、年龄35周岁以内，条件优秀者年龄可适当放宽。</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黑体" w:hAnsi="宋体" w:eastAsia="黑体" w:cs="宋体"/>
          <w:b w:val="0"/>
          <w:bCs/>
          <w:color w:val="auto"/>
          <w:kern w:val="0"/>
          <w:sz w:val="32"/>
          <w:szCs w:val="32"/>
        </w:rPr>
      </w:pPr>
      <w:r>
        <w:rPr>
          <w:rFonts w:hint="eastAsia" w:ascii="黑体" w:hAnsi="宋体" w:eastAsia="黑体" w:cs="宋体"/>
          <w:b w:val="0"/>
          <w:bCs/>
          <w:color w:val="auto"/>
          <w:kern w:val="0"/>
          <w:sz w:val="32"/>
          <w:szCs w:val="32"/>
        </w:rPr>
        <w:t>二、有下列情形之一者不得应聘</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1、周口市辖区内机关事业单位在编在岗人员；</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曾因犯罪受过刑事处罚的，涉嫌违纪违法正在接受有关机关审查尚未作出结论的，受处分期间或者未满影响期限的，曾在公务员考录、人才引进、事业单位公开招聘考试中被认定有舞弊等严重违反招聘纪律行为的人员；</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3、有关高校的分校、独立学院毕业生，委托培养、在职培养、定向培养和合作办学的毕业生；</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4、法律、法规规定的其他不适合引进的情形。</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w:t>
      </w:r>
      <w:r>
        <w:rPr>
          <w:rFonts w:hint="eastAsia" w:ascii="黑体" w:hAnsi="黑体" w:eastAsia="黑体" w:cs="黑体"/>
          <w:b w:val="0"/>
          <w:bCs/>
          <w:color w:val="auto"/>
          <w:kern w:val="0"/>
          <w:sz w:val="32"/>
          <w:szCs w:val="32"/>
          <w:lang w:val="en-US" w:eastAsia="zh-CN"/>
        </w:rPr>
        <w:t>引进</w:t>
      </w:r>
      <w:r>
        <w:rPr>
          <w:rFonts w:hint="eastAsia" w:ascii="黑体" w:hAnsi="黑体" w:eastAsia="黑体" w:cs="黑体"/>
          <w:b w:val="0"/>
          <w:bCs/>
          <w:color w:val="auto"/>
          <w:kern w:val="0"/>
          <w:sz w:val="32"/>
          <w:szCs w:val="32"/>
        </w:rPr>
        <w:t>待遇</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1、引进人才按照有关规定办理事业单位聘用手续。</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、安家费及科研启动经费：一次性安家费20万元，科研配套启动基金50-80万元；（一人一议）</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、在院工作期间每月发放住房补贴3000元；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、享受每月2000元博士补贴；</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、根据不同情况，享受临床主任或副主任待遇；</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、符合职称晋升条件后，院内职称晋升免评；</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、院内解决配偶工作；</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、享受</w:t>
      </w:r>
      <w:r>
        <w:rPr>
          <w:rFonts w:hint="eastAsia" w:ascii="仿宋_GB2312" w:hAnsi="宋体" w:eastAsia="仿宋_GB2312" w:cs="宋体"/>
          <w:color w:val="auto"/>
          <w:kern w:val="0"/>
          <w:sz w:val="32"/>
          <w:szCs w:val="32"/>
          <w:lang w:val="en-US" w:eastAsia="zh-CN"/>
        </w:rPr>
        <w:t>周口市人才引进</w:t>
      </w:r>
      <w:r>
        <w:rPr>
          <w:rFonts w:hint="eastAsia" w:ascii="仿宋_GB2312" w:hAnsi="宋体" w:eastAsia="仿宋_GB2312" w:cs="宋体"/>
          <w:color w:val="auto"/>
          <w:kern w:val="0"/>
          <w:sz w:val="32"/>
          <w:szCs w:val="32"/>
        </w:rPr>
        <w:t>政策。</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四、报名时间及方式</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1、报名时间：公告发布之日起至2022年12月31日</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2、报名材料：</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w:instrText>
      </w:r>
      <w:r>
        <w:rPr>
          <w:rFonts w:hint="eastAsia" w:ascii="仿宋_GB2312" w:hAnsi="宋体" w:eastAsia="仿宋_GB2312" w:cs="宋体"/>
          <w:color w:val="auto"/>
          <w:kern w:val="0"/>
          <w:sz w:val="32"/>
          <w:szCs w:val="32"/>
        </w:rPr>
        <w:instrText xml:space="preserve">= 1 \* GB3</w:instrText>
      </w:r>
      <w:r>
        <w:rPr>
          <w:rFonts w:ascii="仿宋_GB2312" w:hAnsi="宋体" w:eastAsia="仿宋_GB2312" w:cs="宋体"/>
          <w:color w:val="auto"/>
          <w:kern w:val="0"/>
          <w:sz w:val="32"/>
          <w:szCs w:val="32"/>
        </w:rPr>
        <w:instrText xml:space="preserve"> </w:instrText>
      </w:r>
      <w:r>
        <w:rPr>
          <w:rFonts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①</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个人简历一份；</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w:instrText>
      </w:r>
      <w:r>
        <w:rPr>
          <w:rFonts w:hint="eastAsia" w:ascii="仿宋_GB2312" w:hAnsi="宋体" w:eastAsia="仿宋_GB2312" w:cs="宋体"/>
          <w:color w:val="auto"/>
          <w:kern w:val="0"/>
          <w:sz w:val="32"/>
          <w:szCs w:val="32"/>
        </w:rPr>
        <w:instrText xml:space="preserve">= 2 \* GB3</w:instrText>
      </w:r>
      <w:r>
        <w:rPr>
          <w:rFonts w:ascii="仿宋_GB2312" w:hAnsi="宋体" w:eastAsia="仿宋_GB2312" w:cs="宋体"/>
          <w:color w:val="auto"/>
          <w:kern w:val="0"/>
          <w:sz w:val="32"/>
          <w:szCs w:val="32"/>
        </w:rPr>
        <w:instrText xml:space="preserve"> </w:instrText>
      </w:r>
      <w:r>
        <w:rPr>
          <w:rFonts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②</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身份证、基础学历、中间学历、最高学历毕业证及学位证复印件；</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w:instrText>
      </w:r>
      <w:r>
        <w:rPr>
          <w:rFonts w:hint="eastAsia" w:ascii="仿宋_GB2312" w:hAnsi="宋体" w:eastAsia="仿宋_GB2312" w:cs="宋体"/>
          <w:color w:val="auto"/>
          <w:kern w:val="0"/>
          <w:sz w:val="32"/>
          <w:szCs w:val="32"/>
        </w:rPr>
        <w:instrText xml:space="preserve">= 3 \* GB3</w:instrText>
      </w:r>
      <w:r>
        <w:rPr>
          <w:rFonts w:ascii="仿宋_GB2312" w:hAnsi="宋体" w:eastAsia="仿宋_GB2312" w:cs="宋体"/>
          <w:color w:val="auto"/>
          <w:kern w:val="0"/>
          <w:sz w:val="32"/>
          <w:szCs w:val="32"/>
        </w:rPr>
        <w:instrText xml:space="preserve"> </w:instrText>
      </w:r>
      <w:r>
        <w:rPr>
          <w:rFonts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③</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各学历阶段《教育部学历证书电子注册备案表》、应届毕业生可提供《教育部学籍在线验证报告》；</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w:instrText>
      </w:r>
      <w:r>
        <w:rPr>
          <w:rFonts w:hint="eastAsia" w:ascii="仿宋_GB2312" w:hAnsi="宋体" w:eastAsia="仿宋_GB2312" w:cs="宋体"/>
          <w:color w:val="auto"/>
          <w:kern w:val="0"/>
          <w:sz w:val="32"/>
          <w:szCs w:val="32"/>
        </w:rPr>
        <w:instrText xml:space="preserve">= 4 \* GB3</w:instrText>
      </w:r>
      <w:r>
        <w:rPr>
          <w:rFonts w:ascii="仿宋_GB2312" w:hAnsi="宋体" w:eastAsia="仿宋_GB2312" w:cs="宋体"/>
          <w:color w:val="auto"/>
          <w:kern w:val="0"/>
          <w:sz w:val="32"/>
          <w:szCs w:val="32"/>
        </w:rPr>
        <w:instrText xml:space="preserve"> </w:instrText>
      </w:r>
      <w:r>
        <w:rPr>
          <w:rFonts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④</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执业证、资格证、职称证、规培证等证明复印件；</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⑤反映科研学术水平的相关论文、著作、科研、获奖证书等材料。</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以上材料装订一起邮寄至周口市中心医院人事科或发送邮件至</w:t>
      </w:r>
      <w:r>
        <w:rPr>
          <w:rFonts w:ascii="仿宋_GB2312" w:hAnsi="宋体" w:eastAsia="仿宋_GB2312" w:cs="宋体"/>
          <w:color w:val="auto"/>
          <w:kern w:val="0"/>
          <w:sz w:val="32"/>
          <w:szCs w:val="32"/>
        </w:rPr>
        <w:t>zkszxyyrsk@163.com</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五、联系方式</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咨询电话：0394-8269113</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地址：周口市中心医院行政楼四楼人事科</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righ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周口市中心医院 </w:t>
      </w:r>
    </w:p>
    <w:p>
      <w:pPr>
        <w:keepNext w:val="0"/>
        <w:keepLines w:val="0"/>
        <w:pageBreakBefore w:val="0"/>
        <w:widowControl/>
        <w:kinsoku/>
        <w:overflowPunct/>
        <w:topLinePunct w:val="0"/>
        <w:autoSpaceDE/>
        <w:autoSpaceDN/>
        <w:bidi w:val="0"/>
        <w:adjustRightInd/>
        <w:snapToGrid/>
        <w:spacing w:line="600" w:lineRule="exact"/>
        <w:ind w:firstLine="640" w:firstLineChars="200"/>
        <w:jc w:val="righ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2022年</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日</w:t>
      </w:r>
      <w:bookmarkStart w:id="0" w:name="_GoBack"/>
      <w:bookmarkEnd w:id="0"/>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10EA"/>
    <w:rsid w:val="0000267F"/>
    <w:rsid w:val="00022C38"/>
    <w:rsid w:val="000278D7"/>
    <w:rsid w:val="00032272"/>
    <w:rsid w:val="00044092"/>
    <w:rsid w:val="0004556D"/>
    <w:rsid w:val="00072E0A"/>
    <w:rsid w:val="000760AC"/>
    <w:rsid w:val="0007798E"/>
    <w:rsid w:val="00080DC3"/>
    <w:rsid w:val="0009201B"/>
    <w:rsid w:val="000A4C81"/>
    <w:rsid w:val="000B032D"/>
    <w:rsid w:val="000B2EBD"/>
    <w:rsid w:val="0010718B"/>
    <w:rsid w:val="00126191"/>
    <w:rsid w:val="00150CE5"/>
    <w:rsid w:val="001925AC"/>
    <w:rsid w:val="001A792F"/>
    <w:rsid w:val="001F17ED"/>
    <w:rsid w:val="001F48CB"/>
    <w:rsid w:val="00211A33"/>
    <w:rsid w:val="00222EF6"/>
    <w:rsid w:val="00232A42"/>
    <w:rsid w:val="0029624F"/>
    <w:rsid w:val="002A1492"/>
    <w:rsid w:val="002B3A5B"/>
    <w:rsid w:val="002D00F1"/>
    <w:rsid w:val="00303032"/>
    <w:rsid w:val="00357D32"/>
    <w:rsid w:val="0037021D"/>
    <w:rsid w:val="00395465"/>
    <w:rsid w:val="003B5B4F"/>
    <w:rsid w:val="003C76FD"/>
    <w:rsid w:val="003E77A9"/>
    <w:rsid w:val="003F11BF"/>
    <w:rsid w:val="0040052E"/>
    <w:rsid w:val="00402905"/>
    <w:rsid w:val="00404C44"/>
    <w:rsid w:val="00421FB5"/>
    <w:rsid w:val="00424267"/>
    <w:rsid w:val="00430BF2"/>
    <w:rsid w:val="004512C2"/>
    <w:rsid w:val="00477832"/>
    <w:rsid w:val="004836E8"/>
    <w:rsid w:val="00491126"/>
    <w:rsid w:val="00491835"/>
    <w:rsid w:val="00496508"/>
    <w:rsid w:val="004970A8"/>
    <w:rsid w:val="004A3013"/>
    <w:rsid w:val="004B22A2"/>
    <w:rsid w:val="004E726D"/>
    <w:rsid w:val="005272F8"/>
    <w:rsid w:val="005469D4"/>
    <w:rsid w:val="005755D2"/>
    <w:rsid w:val="00576CDE"/>
    <w:rsid w:val="0061056B"/>
    <w:rsid w:val="00670559"/>
    <w:rsid w:val="006768E0"/>
    <w:rsid w:val="00687FBC"/>
    <w:rsid w:val="00693FEC"/>
    <w:rsid w:val="006B1708"/>
    <w:rsid w:val="006E07E5"/>
    <w:rsid w:val="006F549C"/>
    <w:rsid w:val="007003E5"/>
    <w:rsid w:val="007161A3"/>
    <w:rsid w:val="00731219"/>
    <w:rsid w:val="0075386A"/>
    <w:rsid w:val="007833E0"/>
    <w:rsid w:val="007910EA"/>
    <w:rsid w:val="007A4EF2"/>
    <w:rsid w:val="007D7A6F"/>
    <w:rsid w:val="00820B25"/>
    <w:rsid w:val="0082577F"/>
    <w:rsid w:val="008332DC"/>
    <w:rsid w:val="00836468"/>
    <w:rsid w:val="00852309"/>
    <w:rsid w:val="008E39CC"/>
    <w:rsid w:val="008E4DB8"/>
    <w:rsid w:val="008F5E8D"/>
    <w:rsid w:val="0093257A"/>
    <w:rsid w:val="00965431"/>
    <w:rsid w:val="00967192"/>
    <w:rsid w:val="00985048"/>
    <w:rsid w:val="009913D9"/>
    <w:rsid w:val="009B34EE"/>
    <w:rsid w:val="009B7624"/>
    <w:rsid w:val="009D030C"/>
    <w:rsid w:val="009D680E"/>
    <w:rsid w:val="009E5CF4"/>
    <w:rsid w:val="00A37B42"/>
    <w:rsid w:val="00A47ADD"/>
    <w:rsid w:val="00A84FA3"/>
    <w:rsid w:val="00A958C9"/>
    <w:rsid w:val="00AB4858"/>
    <w:rsid w:val="00AB4ACA"/>
    <w:rsid w:val="00AC48F2"/>
    <w:rsid w:val="00AC56EC"/>
    <w:rsid w:val="00AD19FF"/>
    <w:rsid w:val="00AE1334"/>
    <w:rsid w:val="00B0244D"/>
    <w:rsid w:val="00B05954"/>
    <w:rsid w:val="00B17D7B"/>
    <w:rsid w:val="00B20FEE"/>
    <w:rsid w:val="00B31F85"/>
    <w:rsid w:val="00B545D1"/>
    <w:rsid w:val="00B5629C"/>
    <w:rsid w:val="00B828F4"/>
    <w:rsid w:val="00BB1AE5"/>
    <w:rsid w:val="00BB3878"/>
    <w:rsid w:val="00BC3F79"/>
    <w:rsid w:val="00BC4CC4"/>
    <w:rsid w:val="00BD4899"/>
    <w:rsid w:val="00BE471F"/>
    <w:rsid w:val="00BF5C65"/>
    <w:rsid w:val="00C023CC"/>
    <w:rsid w:val="00C37D56"/>
    <w:rsid w:val="00C64008"/>
    <w:rsid w:val="00C675AB"/>
    <w:rsid w:val="00C861FC"/>
    <w:rsid w:val="00C91CA6"/>
    <w:rsid w:val="00CE4037"/>
    <w:rsid w:val="00D0584E"/>
    <w:rsid w:val="00D3063E"/>
    <w:rsid w:val="00D4407C"/>
    <w:rsid w:val="00D75DC4"/>
    <w:rsid w:val="00DA7960"/>
    <w:rsid w:val="00DC6914"/>
    <w:rsid w:val="00DE2780"/>
    <w:rsid w:val="00DF3238"/>
    <w:rsid w:val="00E40A57"/>
    <w:rsid w:val="00E73FD7"/>
    <w:rsid w:val="00E80BB6"/>
    <w:rsid w:val="00ED157C"/>
    <w:rsid w:val="00EE6979"/>
    <w:rsid w:val="00F02496"/>
    <w:rsid w:val="00F16902"/>
    <w:rsid w:val="00F55743"/>
    <w:rsid w:val="00F67543"/>
    <w:rsid w:val="00FC3D5D"/>
    <w:rsid w:val="00FD1140"/>
    <w:rsid w:val="00FD175C"/>
    <w:rsid w:val="00FD6601"/>
    <w:rsid w:val="00FD693B"/>
    <w:rsid w:val="00FD74C8"/>
    <w:rsid w:val="4C64567D"/>
    <w:rsid w:val="7DEB0DF4"/>
    <w:rsid w:val="7FBC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uiPriority w:val="0"/>
    <w:rPr>
      <w:kern w:val="2"/>
      <w:sz w:val="18"/>
      <w:szCs w:val="18"/>
    </w:rPr>
  </w:style>
  <w:style w:type="character" w:customStyle="1" w:styleId="10">
    <w:name w:val="批注框文本 Char"/>
    <w:basedOn w:val="6"/>
    <w:link w:val="2"/>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147</Words>
  <Characters>840</Characters>
  <Lines>7</Lines>
  <Paragraphs>1</Paragraphs>
  <TotalTime>101</TotalTime>
  <ScaleCrop>false</ScaleCrop>
  <LinksUpToDate>false</LinksUpToDate>
  <CharactersWithSpaces>986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2022-05-31T10:55:00Z</dcterms:created>
  <dc:creator>微软用户</dc:creator>
  <cp:lastModifiedBy>安泽的Dad</cp:lastModifiedBy>
  <cp:lastPrinted>2022-06-02T09:03:00Z</cp:lastPrinted>
  <dcterms:modified xsi:type="dcterms:W3CDTF">2022-09-20T06:38:48Z</dcterms:modified>
  <dc:title>招</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