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jc w:val="both"/>
        <w:rPr>
          <w:rStyle w:val="7"/>
          <w:rFonts w:hint="default" w:ascii="Times New Roman" w:hAnsi="Times New Roman" w:eastAsia="黑体" w:cs="Times New Roman"/>
          <w:b w:val="0"/>
          <w:color w:val="222222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  <w:t>附件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2022年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共青城市农业农村水利局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招聘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合同制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工作人员职位表</w:t>
      </w:r>
    </w:p>
    <w:bookmarkEnd w:id="0"/>
    <w:tbl>
      <w:tblPr>
        <w:tblStyle w:val="5"/>
        <w:tblW w:w="1407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852"/>
        <w:gridCol w:w="870"/>
        <w:gridCol w:w="570"/>
        <w:gridCol w:w="1140"/>
        <w:gridCol w:w="885"/>
        <w:gridCol w:w="945"/>
        <w:gridCol w:w="810"/>
        <w:gridCol w:w="4515"/>
        <w:gridCol w:w="855"/>
        <w:gridCol w:w="735"/>
        <w:gridCol w:w="11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职位(岗位)名称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82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是否笔试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是否面试</w:t>
            </w:r>
          </w:p>
        </w:tc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薪资待遇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     (周岁)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共青城市农业农村水利局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农林牧渔大类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</w:t>
            </w: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及以上学历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年龄在</w:t>
            </w: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周岁以下（19</w:t>
            </w: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日以后出生）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服务年限不低于2年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是（结构化面试）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按照我市统一标准执行，年薪6万左右（含五险一金）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共青城市农业农村水利局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</w:t>
            </w: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及以上学历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年龄在</w:t>
            </w: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周岁以下（19</w:t>
            </w: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日以后出生）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需野外作业，服务年限不低于2年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是（结构化面试）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按照我市统一标准执行，年薪6万左右（含五险一金）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Style w:val="7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yODU5ZjU5ZmVmNWY5YjA2MDFkOGEwMTJlNzA2OWQifQ=="/>
  </w:docVars>
  <w:rsids>
    <w:rsidRoot w:val="3F1C7FA4"/>
    <w:rsid w:val="3F1C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2022-08-16T12:05:00Z</dcterms:created>
  <dc:creator>～黄小令～</dc:creator>
  <cp:lastModifiedBy>～黄小令～</cp:lastModifiedBy>
  <dcterms:modified xsi:type="dcterms:W3CDTF">2022-08-16T12:06:09Z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24B14004C12546538345912108429C8E</vt:lpwstr>
  </property>
</Properties>
</file>