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2022年“引才聚智‘医’起向未来”</w:t>
      </w:r>
      <w:r>
        <w:rPr>
          <w:rFonts w:hint="eastAsia" w:eastAsia="黑体" w:cs="Times New Roman"/>
          <w:color w:val="000000"/>
          <w:sz w:val="36"/>
          <w:szCs w:val="36"/>
          <w:lang w:val="en-US" w:eastAsia="zh-CN"/>
        </w:rPr>
        <w:t>医疗卫生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人才</w:t>
      </w: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eastAsia="黑体" w:cs="Times New Roman"/>
          <w:color w:val="000000"/>
          <w:sz w:val="36"/>
          <w:szCs w:val="36"/>
          <w:lang w:eastAsia="zh-CN"/>
        </w:rPr>
        <w:t>招引（二）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</w:p>
    <w:tbl>
      <w:tblPr>
        <w:tblStyle w:val="5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五、报名表中填报的科研成果、主要业绩及奖惩情况须逐一提供证明材料。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FE76C8"/>
    <w:rsid w:val="05065124"/>
    <w:rsid w:val="B9FE7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2022-07-21T15:05:00Z</dcterms:created>
  <dc:creator>quzhou</dc:creator>
  <cp:lastModifiedBy>小仙女</cp:lastModifiedBy>
  <dcterms:modified xsi:type="dcterms:W3CDTF">2022-07-21T07:41:29Z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60D27E50EB654552A9ACEDAAFCF1E684</vt:lpwstr>
  </property>
</Properties>
</file>