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96" w:type="pct"/>
        <w:tblInd w:w="0" w:type="dxa"/>
        <w:tblLayout w:type="fixed"/>
        <w:tblCellMar>
          <w:top w:w="0" w:type="dxa"/>
          <w:left w:w="108" w:type="dxa"/>
          <w:bottom w:w="0" w:type="dxa"/>
          <w:right w:w="108" w:type="dxa"/>
        </w:tblCellMar>
      </w:tblPr>
      <w:tblGrid>
        <w:gridCol w:w="419"/>
        <w:gridCol w:w="329"/>
        <w:gridCol w:w="411"/>
        <w:gridCol w:w="404"/>
        <w:gridCol w:w="870"/>
        <w:gridCol w:w="620"/>
        <w:gridCol w:w="3856"/>
        <w:gridCol w:w="572"/>
        <w:gridCol w:w="572"/>
        <w:gridCol w:w="589"/>
        <w:gridCol w:w="1204"/>
        <w:gridCol w:w="4316"/>
      </w:tblGrid>
      <w:tr>
        <w:tblPrEx>
          <w:tblCellMar>
            <w:top w:w="0" w:type="dxa"/>
            <w:left w:w="108" w:type="dxa"/>
            <w:bottom w:w="0" w:type="dxa"/>
            <w:right w:w="108" w:type="dxa"/>
          </w:tblCellMar>
        </w:tblPrEx>
        <w:trPr>
          <w:trHeight w:val="450" w:hRule="atLeast"/>
        </w:trPr>
        <w:tc>
          <w:tcPr>
            <w:tcW w:w="552" w:type="pct"/>
            <w:gridSpan w:val="4"/>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auto"/>
                <w:sz w:val="36"/>
                <w:szCs w:val="36"/>
              </w:rPr>
            </w:pPr>
            <w:r>
              <w:rPr>
                <w:rFonts w:hint="eastAsia" w:ascii="宋体" w:hAnsi="宋体" w:eastAsia="宋体" w:cs="宋体"/>
                <w:color w:val="auto"/>
                <w:kern w:val="0"/>
                <w:sz w:val="36"/>
                <w:szCs w:val="36"/>
                <w:lang w:bidi="ar"/>
              </w:rPr>
              <w:t>附件</w:t>
            </w:r>
            <w:r>
              <w:rPr>
                <w:rFonts w:hint="default" w:ascii="宋体" w:hAnsi="宋体" w:cs="宋体"/>
                <w:color w:val="auto"/>
                <w:kern w:val="0"/>
                <w:sz w:val="36"/>
                <w:szCs w:val="36"/>
                <w:lang w:val="en-US" w:bidi="ar"/>
              </w:rPr>
              <w:t>1</w:t>
            </w:r>
            <w:r>
              <w:rPr>
                <w:rFonts w:hint="eastAsia" w:ascii="宋体" w:hAnsi="宋体" w:eastAsia="宋体" w:cs="宋体"/>
                <w:color w:val="auto"/>
                <w:kern w:val="0"/>
                <w:sz w:val="36"/>
                <w:szCs w:val="36"/>
                <w:lang w:bidi="ar"/>
              </w:rPr>
              <w:t>：</w:t>
            </w:r>
          </w:p>
        </w:tc>
        <w:tc>
          <w:tcPr>
            <w:tcW w:w="307" w:type="pct"/>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1782" w:type="pct"/>
            <w:gridSpan w:val="3"/>
            <w:tcBorders>
              <w:top w:val="nil"/>
              <w:left w:val="nil"/>
              <w:bottom w:val="nil"/>
              <w:right w:val="nil"/>
            </w:tcBorders>
            <w:shd w:val="clear" w:color="auto" w:fill="auto"/>
            <w:noWrap/>
            <w:vAlign w:val="center"/>
          </w:tcPr>
          <w:p>
            <w:pPr>
              <w:jc w:val="left"/>
              <w:rPr>
                <w:rFonts w:ascii="宋体" w:hAnsi="宋体" w:eastAsia="宋体" w:cs="宋体"/>
                <w:color w:val="auto"/>
                <w:sz w:val="22"/>
              </w:rPr>
            </w:pPr>
          </w:p>
        </w:tc>
        <w:tc>
          <w:tcPr>
            <w:tcW w:w="410" w:type="pct"/>
            <w:gridSpan w:val="2"/>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425" w:type="pct"/>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1521" w:type="pct"/>
            <w:tcBorders>
              <w:top w:val="nil"/>
              <w:left w:val="nil"/>
              <w:bottom w:val="nil"/>
              <w:right w:val="nil"/>
            </w:tcBorders>
            <w:shd w:val="clear" w:color="auto" w:fill="auto"/>
            <w:noWrap/>
            <w:vAlign w:val="center"/>
          </w:tcPr>
          <w:p>
            <w:pPr>
              <w:jc w:val="left"/>
              <w:rPr>
                <w:rFonts w:ascii="宋体" w:hAnsi="宋体" w:eastAsia="宋体" w:cs="宋体"/>
                <w:color w:val="auto"/>
                <w:sz w:val="22"/>
              </w:rPr>
            </w:pPr>
          </w:p>
        </w:tc>
      </w:tr>
      <w:tr>
        <w:tblPrEx>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auto"/>
                <w:sz w:val="44"/>
                <w:szCs w:val="44"/>
              </w:rPr>
            </w:pPr>
            <w:r>
              <w:rPr>
                <w:rFonts w:hint="eastAsia" w:ascii="宋体" w:hAnsi="宋体" w:eastAsia="宋体" w:cs="宋体"/>
                <w:color w:val="auto"/>
                <w:kern w:val="0"/>
                <w:sz w:val="44"/>
                <w:szCs w:val="44"/>
                <w:lang w:bidi="ar"/>
              </w:rPr>
              <w:t>鄂尔多斯应用技术学院2022年</w:t>
            </w:r>
            <w:r>
              <w:rPr>
                <w:rFonts w:hint="eastAsia" w:ascii="宋体" w:hAnsi="宋体" w:eastAsia="宋体" w:cs="宋体"/>
                <w:color w:val="auto"/>
                <w:kern w:val="0"/>
                <w:sz w:val="44"/>
                <w:szCs w:val="44"/>
                <w:lang w:val="en-US" w:eastAsia="zh-CN" w:bidi="ar"/>
              </w:rPr>
              <w:t>公开</w:t>
            </w:r>
            <w:r>
              <w:rPr>
                <w:rFonts w:hint="eastAsia" w:ascii="宋体" w:hAnsi="宋体" w:eastAsia="宋体" w:cs="宋体"/>
                <w:color w:val="auto"/>
                <w:kern w:val="0"/>
                <w:sz w:val="44"/>
                <w:szCs w:val="44"/>
                <w:lang w:bidi="ar"/>
              </w:rPr>
              <w:t>引进专任教师目录</w:t>
            </w:r>
          </w:p>
        </w:tc>
      </w:tr>
      <w:tr>
        <w:tblPrEx>
          <w:tblCellMar>
            <w:top w:w="0" w:type="dxa"/>
            <w:left w:w="108" w:type="dxa"/>
            <w:bottom w:w="0" w:type="dxa"/>
            <w:right w:w="108" w:type="dxa"/>
          </w:tblCellMar>
        </w:tblPrEx>
        <w:trPr>
          <w:trHeight w:val="270" w:hRule="atLeast"/>
        </w:trPr>
        <w:tc>
          <w:tcPr>
            <w:tcW w:w="264" w:type="pct"/>
            <w:gridSpan w:val="2"/>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288" w:type="pct"/>
            <w:gridSpan w:val="2"/>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307" w:type="pct"/>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1782" w:type="pct"/>
            <w:gridSpan w:val="3"/>
            <w:tcBorders>
              <w:top w:val="nil"/>
              <w:left w:val="nil"/>
              <w:bottom w:val="nil"/>
              <w:right w:val="nil"/>
            </w:tcBorders>
            <w:shd w:val="clear" w:color="auto" w:fill="auto"/>
            <w:noWrap/>
            <w:vAlign w:val="center"/>
          </w:tcPr>
          <w:p>
            <w:pPr>
              <w:jc w:val="left"/>
              <w:rPr>
                <w:rFonts w:ascii="宋体" w:hAnsi="宋体" w:eastAsia="宋体" w:cs="宋体"/>
                <w:color w:val="auto"/>
                <w:sz w:val="22"/>
              </w:rPr>
            </w:pPr>
          </w:p>
        </w:tc>
        <w:tc>
          <w:tcPr>
            <w:tcW w:w="410" w:type="pct"/>
            <w:gridSpan w:val="2"/>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425" w:type="pct"/>
            <w:tcBorders>
              <w:top w:val="nil"/>
              <w:left w:val="nil"/>
              <w:bottom w:val="nil"/>
              <w:right w:val="nil"/>
            </w:tcBorders>
            <w:shd w:val="clear" w:color="auto" w:fill="auto"/>
            <w:noWrap/>
            <w:vAlign w:val="center"/>
          </w:tcPr>
          <w:p>
            <w:pPr>
              <w:rPr>
                <w:rFonts w:ascii="宋体" w:hAnsi="宋体" w:eastAsia="宋体" w:cs="宋体"/>
                <w:color w:val="auto"/>
                <w:sz w:val="22"/>
              </w:rPr>
            </w:pPr>
          </w:p>
        </w:tc>
        <w:tc>
          <w:tcPr>
            <w:tcW w:w="1521" w:type="pct"/>
            <w:tcBorders>
              <w:top w:val="nil"/>
              <w:left w:val="nil"/>
              <w:bottom w:val="nil"/>
              <w:right w:val="nil"/>
            </w:tcBorders>
            <w:shd w:val="clear" w:color="auto" w:fill="auto"/>
            <w:noWrap/>
            <w:vAlign w:val="center"/>
          </w:tcPr>
          <w:p>
            <w:pPr>
              <w:jc w:val="left"/>
              <w:rPr>
                <w:rFonts w:ascii="宋体" w:hAnsi="宋体" w:eastAsia="宋体" w:cs="宋体"/>
                <w:color w:val="auto"/>
                <w:sz w:val="22"/>
              </w:rPr>
            </w:pPr>
          </w:p>
        </w:tc>
      </w:tr>
      <w:tr>
        <w:tblPrEx>
          <w:tblCellMar>
            <w:top w:w="0" w:type="dxa"/>
            <w:left w:w="108" w:type="dxa"/>
            <w:bottom w:w="0" w:type="dxa"/>
            <w:right w:w="108" w:type="dxa"/>
          </w:tblCellMar>
        </w:tblPrEx>
        <w:trPr>
          <w:trHeight w:val="66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序号</w:t>
            </w:r>
          </w:p>
        </w:tc>
        <w:tc>
          <w:tcPr>
            <w:tcW w:w="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用人单位</w:t>
            </w: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岗位名称</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专业要求</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学历学位</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引进人数</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其他要求</w:t>
            </w:r>
          </w:p>
        </w:tc>
      </w:tr>
      <w:tr>
        <w:tblPrEx>
          <w:tblCellMar>
            <w:top w:w="0" w:type="dxa"/>
            <w:left w:w="108" w:type="dxa"/>
            <w:bottom w:w="0" w:type="dxa"/>
            <w:right w:w="108" w:type="dxa"/>
          </w:tblCellMar>
        </w:tblPrEx>
        <w:trPr>
          <w:trHeight w:val="115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大飞机学院（2</w:t>
            </w:r>
            <w:r>
              <w:rPr>
                <w:rFonts w:ascii="黑体" w:hAnsi="宋体" w:eastAsia="黑体" w:cs="黑体"/>
                <w:color w:val="auto"/>
                <w:kern w:val="0"/>
                <w:sz w:val="18"/>
                <w:szCs w:val="18"/>
                <w:lang w:bidi="ar"/>
              </w:rPr>
              <w:t>7</w:t>
            </w:r>
            <w:r>
              <w:rPr>
                <w:rFonts w:hint="eastAsia" w:ascii="黑体" w:hAnsi="宋体" w:eastAsia="黑体" w:cs="黑体"/>
                <w:color w:val="auto"/>
                <w:kern w:val="0"/>
                <w:sz w:val="18"/>
                <w:szCs w:val="18"/>
                <w:lang w:bidi="ar"/>
              </w:rPr>
              <w:t>）</w:t>
            </w: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交通运输</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（机场运行与管理）</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运输（空中交通管理方向）、交通运输（签派方向）、交通运输（机场方向）、交通运输工程（航空方向类）、交通工程（航空方向类）、应用气象学（航空气象类）、安全科学与工程类（民航安全）、交通运输（民航运输管理方向）</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bidi="ar"/>
              </w:rPr>
              <w:t>具备较强的科研能力和学术造诣，熟悉签派、管制或机场运控方向专业理论和实践教学</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181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交通运输</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（机场运行与管理）</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实验教师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运输（空中交通管理方向）、交通运输（签派方向）、交通运输（机场方向）、交通运输工程（航空方向类）、交通工程（航空方向类）、应用气象学（航空气象类）、安全科学与工程类（民航安全）、交通运输（民航运输管理方向）</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1.熟悉签派、管制或机场运控方向实践教学；</w:t>
            </w:r>
          </w:p>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2</w:t>
            </w:r>
            <w:r>
              <w:rPr>
                <w:rFonts w:hint="eastAsia" w:ascii="宋体" w:hAnsi="宋体" w:eastAsia="宋体" w:cs="宋体"/>
                <w:color w:val="auto"/>
                <w:kern w:val="0"/>
                <w:sz w:val="18"/>
                <w:szCs w:val="18"/>
                <w:lang w:bidi="ar"/>
              </w:rPr>
              <w:t>.具有签派、机场运控或管制类工作背景、拥有签派或空管800学时培训证明、飞行签派员执照、空中交通管制员执照等证照者可适当降低学历要求为本科。</w:t>
            </w:r>
          </w:p>
        </w:tc>
      </w:tr>
      <w:tr>
        <w:tblPrEx>
          <w:tblCellMar>
            <w:top w:w="0" w:type="dxa"/>
            <w:left w:w="108" w:type="dxa"/>
            <w:bottom w:w="0" w:type="dxa"/>
            <w:right w:w="108" w:type="dxa"/>
          </w:tblCellMar>
        </w:tblPrEx>
        <w:trPr>
          <w:trHeight w:val="135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机械工程</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（机务方向）</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机械工程、力学、航空宇航科学与技术</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熟悉机械工程（机务方向）专业理论和实践教学；专业和学历要求下还需满足以下情况之一：</w:t>
            </w:r>
          </w:p>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1.研究方向为机械、力学、航空领域博士研究生，具备较强的科研能力和学术造诣；</w:t>
            </w:r>
          </w:p>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2.在航空背景高校获得机械类、航空类专业硕士及以上学位；</w:t>
            </w:r>
          </w:p>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3.航空类企业中从事飞行器制造或维修工作，获得副高级及以上职称。</w:t>
            </w:r>
          </w:p>
        </w:tc>
      </w:tr>
      <w:tr>
        <w:tblPrEx>
          <w:tblCellMar>
            <w:top w:w="0" w:type="dxa"/>
            <w:left w:w="108" w:type="dxa"/>
            <w:bottom w:w="0" w:type="dxa"/>
            <w:right w:w="108" w:type="dxa"/>
          </w:tblCellMar>
        </w:tblPrEx>
        <w:trPr>
          <w:trHeight w:val="189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4</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机械工程</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（机务方向）</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实验教师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工学</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在满足专业和学历要求下，还需满足以下情况之一：</w:t>
            </w:r>
          </w:p>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1.在航空类高校获得航空类专业硕士及以上学位，熟悉机械工程（机务方向）实践教学；</w:t>
            </w:r>
          </w:p>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2.在航空类企业从事飞行器制造或维修工作，获得副高级及以上职称或相应职位；</w:t>
            </w:r>
          </w:p>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3.具有飞机制造厂、航空公司、机场等航空类工作背景，持有CCAR-66R3(TA)执照，具有TA类别航空器维修5年及以上经验者可适当降低学历要求为本科。</w:t>
            </w:r>
          </w:p>
        </w:tc>
      </w:tr>
      <w:tr>
        <w:tblPrEx>
          <w:tblCellMar>
            <w:top w:w="0" w:type="dxa"/>
            <w:left w:w="108" w:type="dxa"/>
            <w:bottom w:w="0" w:type="dxa"/>
            <w:right w:w="108" w:type="dxa"/>
          </w:tblCellMar>
        </w:tblPrEx>
        <w:trPr>
          <w:trHeight w:val="97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5</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电子信息科学与技术</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（电子系统与机载设备）</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电子科学与技术、仪器科学与技术、信息与通信工程、机械电子工程、航空宇航科学与技术</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3</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bidi="ar"/>
              </w:rPr>
              <w:t>研究方向为航空航天领域，具备较强的科研能力和学术造诣，熟悉电子信息类专业理论和实践教学</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3084"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6</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电子信息科学与技术</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（电子系统与机载设备）</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实验教师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工学</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在满足专业和学历要求下，还需满足以下情况之一：</w:t>
            </w:r>
          </w:p>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1.在航空类高校获得航空类专业硕士及以上学位，熟悉机载电子、机务方向实践教学；</w:t>
            </w:r>
          </w:p>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2.在航空类企业从事飞行器制造或维修工作，获得副高级及以上职称或相应职位。</w:t>
            </w:r>
          </w:p>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3.具有飞机制造厂、航空公司、机场等航空类工作背景，持有CCAR-66R3(TA)执照，具有TA类别航空器维修5年及以上经验者可适当降低学历要求为本科。</w:t>
            </w:r>
          </w:p>
        </w:tc>
      </w:tr>
      <w:tr>
        <w:tblPrEx>
          <w:tblCellMar>
            <w:top w:w="0" w:type="dxa"/>
            <w:left w:w="108" w:type="dxa"/>
            <w:bottom w:w="0" w:type="dxa"/>
            <w:right w:w="108" w:type="dxa"/>
          </w:tblCellMar>
        </w:tblPrEx>
        <w:trPr>
          <w:trHeight w:val="70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7</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机械工程</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博士专业为：机械工程</w:t>
            </w:r>
          </w:p>
          <w:p>
            <w:pPr>
              <w:widowControl/>
              <w:jc w:val="left"/>
              <w:textAlignment w:val="center"/>
              <w:rPr>
                <w:rFonts w:hint="default"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硕士专业为：机械设计及理论、机械电子工程、机械制造及其自动化</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机械</w:t>
            </w:r>
          </w:p>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本科专业为：机械设计制造及其自动化、机械工程、机械电子工程</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具备机械制造、机械设计等相关技术领域研发能力，了解机械工程本科专业相关课程的理论和实践教学。</w:t>
            </w:r>
          </w:p>
        </w:tc>
      </w:tr>
      <w:tr>
        <w:tblPrEx>
          <w:tblCellMar>
            <w:top w:w="0" w:type="dxa"/>
            <w:left w:w="108" w:type="dxa"/>
            <w:bottom w:w="0" w:type="dxa"/>
            <w:right w:w="108" w:type="dxa"/>
          </w:tblCellMar>
        </w:tblPrEx>
        <w:trPr>
          <w:trHeight w:val="67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8</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交通运输</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交通运输、交通工程、交通运输规划与管理、物流工程与管理、物流工程、管理科学与工程（物流与供应链管理方向）</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bidi="ar"/>
              </w:rPr>
              <w:t>能够从事交通运输专业的教学及科研工作</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69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9</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交通运输</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实验教师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交通运输、交通工程、交通运输规划与管理、物流工程与管理、物流工程、管理科学与工程（物流与供应链管理方向）</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bidi="ar"/>
              </w:rPr>
              <w:t>能够从事交通运输专业的实践课程的教学工作，掌握交通运输、物流常用仿真软件</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67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0</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汽车服务工程</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val="en-US" w:eastAsia="zh-CN" w:bidi="ar"/>
              </w:rPr>
              <w:t>工学</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非车辆工程专业需</w:t>
            </w:r>
            <w:r>
              <w:rPr>
                <w:rFonts w:hint="eastAsia" w:ascii="宋体" w:hAnsi="宋体" w:eastAsia="宋体" w:cs="宋体"/>
                <w:color w:val="auto"/>
                <w:kern w:val="0"/>
                <w:sz w:val="18"/>
                <w:szCs w:val="18"/>
                <w:lang w:bidi="ar"/>
              </w:rPr>
              <w:t>有</w:t>
            </w:r>
            <w:r>
              <w:rPr>
                <w:rFonts w:hint="eastAsia" w:ascii="宋体" w:hAnsi="宋体" w:eastAsia="宋体" w:cs="宋体"/>
                <w:color w:val="auto"/>
                <w:kern w:val="0"/>
                <w:sz w:val="18"/>
                <w:szCs w:val="18"/>
                <w:lang w:val="en-US" w:eastAsia="zh-CN" w:bidi="ar"/>
              </w:rPr>
              <w:t>2</w:t>
            </w:r>
            <w:r>
              <w:rPr>
                <w:rFonts w:hint="eastAsia" w:ascii="宋体" w:hAnsi="宋体" w:eastAsia="宋体" w:cs="宋体"/>
                <w:color w:val="auto"/>
                <w:kern w:val="0"/>
                <w:sz w:val="18"/>
                <w:szCs w:val="18"/>
                <w:lang w:bidi="ar"/>
              </w:rPr>
              <w:t>年</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含</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以上汽车专业课程教学经验</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1</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汽车服务工程</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实验教师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val="en-US" w:eastAsia="zh-CN" w:bidi="ar"/>
              </w:rPr>
              <w:t>工学</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val="en-US" w:eastAsia="zh-CN" w:bidi="ar"/>
              </w:rPr>
              <w:t>需</w:t>
            </w:r>
            <w:r>
              <w:rPr>
                <w:rFonts w:hint="eastAsia" w:ascii="宋体" w:hAnsi="宋体" w:eastAsia="宋体" w:cs="宋体"/>
                <w:color w:val="auto"/>
                <w:kern w:val="0"/>
                <w:sz w:val="18"/>
                <w:szCs w:val="18"/>
                <w:lang w:bidi="ar"/>
              </w:rPr>
              <w:t>有3年</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含</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以上汽车行业工作经历或3年</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含</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以上汽车专业实践课程教学经验</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72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2</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智能制造</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kern w:val="0"/>
                <w:sz w:val="18"/>
                <w:szCs w:val="18"/>
                <w:lang w:bidi="ar"/>
              </w:rPr>
              <w:t>机械工程、仪器科学与技术、电子科学与技术、控制科学与工程、计算机科学与技术、软件工程</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人工智能</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具备智能制造、机械自动化、机械电子工程等相关技术领域研发能力</w:t>
            </w:r>
          </w:p>
        </w:tc>
      </w:tr>
      <w:tr>
        <w:tblPrEx>
          <w:tblCellMar>
            <w:top w:w="0" w:type="dxa"/>
            <w:left w:w="108" w:type="dxa"/>
            <w:bottom w:w="0" w:type="dxa"/>
            <w:right w:w="108" w:type="dxa"/>
          </w:tblCellMar>
        </w:tblPrEx>
        <w:trPr>
          <w:trHeight w:val="82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3</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智能制造</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实验教师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机械工程、仪器科学与技术、电子科学与技术、控制科学与工程、计算机科学与技术、软件工程</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val="en-US" w:eastAsia="zh-CN" w:bidi="ar"/>
              </w:rPr>
              <w:t>人工智能</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bidi="ar"/>
              </w:rPr>
              <w:t>熟悉智能制造、机械自动化（非农机）、机械电子工程本科专业相关课程的理论和实践教学</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4</w:t>
            </w:r>
          </w:p>
        </w:tc>
        <w:tc>
          <w:tcPr>
            <w:tcW w:w="261"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信息工程系（1</w:t>
            </w:r>
            <w:r>
              <w:rPr>
                <w:rFonts w:ascii="黑体" w:hAnsi="宋体" w:eastAsia="黑体" w:cs="黑体"/>
                <w:color w:val="auto"/>
                <w:kern w:val="0"/>
                <w:sz w:val="18"/>
                <w:szCs w:val="18"/>
                <w:lang w:bidi="ar"/>
              </w:rPr>
              <w:t>0</w:t>
            </w:r>
            <w:r>
              <w:rPr>
                <w:rFonts w:hint="eastAsia" w:ascii="黑体" w:hAnsi="宋体" w:eastAsia="黑体" w:cs="黑体"/>
                <w:color w:val="auto"/>
                <w:kern w:val="0"/>
                <w:sz w:val="18"/>
                <w:szCs w:val="18"/>
                <w:lang w:bidi="ar"/>
              </w:rPr>
              <w:t>）</w:t>
            </w: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电子信息科学与技术</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电子科学与技术（工学学位）、信息与通信工程</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具有研究生毕业证且获得硕士及以上学位证，或获得硕士及以上学位证并具有高级职称。</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5</w:t>
            </w:r>
          </w:p>
        </w:tc>
        <w:tc>
          <w:tcPr>
            <w:tcW w:w="26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自动化</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控制科学与工程</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具有研究生毕业证且获得硕士及以上学位证，或获得硕士及以上学位证并具有高级职称。</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6</w:t>
            </w:r>
          </w:p>
        </w:tc>
        <w:tc>
          <w:tcPr>
            <w:tcW w:w="261"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电气工程及其自动化</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电气工程</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具有研究生毕业证且获得硕士及以上学位证，或获得硕士及以上学位证并具有高级职称。</w:t>
            </w:r>
          </w:p>
        </w:tc>
      </w:tr>
      <w:tr>
        <w:tblPrEx>
          <w:tblCellMar>
            <w:top w:w="0" w:type="dxa"/>
            <w:left w:w="108" w:type="dxa"/>
            <w:bottom w:w="0" w:type="dxa"/>
            <w:right w:w="108" w:type="dxa"/>
          </w:tblCellMar>
        </w:tblPrEx>
        <w:trPr>
          <w:trHeight w:val="111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r>
              <w:rPr>
                <w:rFonts w:ascii="宋体" w:hAnsi="宋体" w:eastAsia="宋体" w:cs="宋体"/>
                <w:color w:val="auto"/>
                <w:kern w:val="0"/>
                <w:sz w:val="18"/>
                <w:szCs w:val="18"/>
                <w:lang w:bidi="ar"/>
              </w:rPr>
              <w:t>7</w:t>
            </w:r>
          </w:p>
        </w:tc>
        <w:tc>
          <w:tcPr>
            <w:tcW w:w="26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土木工程系（10）</w:t>
            </w: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土木工程</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土木工程(土木与建筑工程专业方向、建筑与土木工程专业方向）、 桥梁与隧道工程、岩土工程、结构工程</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取得硕士研究生学历且获得硕士学位的应届毕业生或毕业3年之内的往届毕业生；取得相应专业博士研究生毕业证且具有学位者不受毕业年限限制；取得副高</w:t>
            </w:r>
            <w:r>
              <w:rPr>
                <w:rFonts w:hint="eastAsia" w:ascii="宋体" w:hAnsi="宋体" w:eastAsia="宋体" w:cs="宋体"/>
                <w:color w:val="auto"/>
                <w:kern w:val="0"/>
                <w:sz w:val="18"/>
                <w:szCs w:val="18"/>
                <w:lang w:val="en-US" w:eastAsia="zh-CN" w:bidi="ar"/>
              </w:rPr>
              <w:t>机</w:t>
            </w:r>
            <w:r>
              <w:rPr>
                <w:rFonts w:hint="eastAsia" w:ascii="宋体" w:hAnsi="宋体" w:eastAsia="宋体" w:cs="宋体"/>
                <w:color w:val="auto"/>
                <w:kern w:val="0"/>
                <w:sz w:val="18"/>
                <w:szCs w:val="18"/>
                <w:lang w:bidi="ar"/>
              </w:rPr>
              <w:t>及以上职称且具有相应专业学科建设经验或在学科方向有研究背景者不受毕业年限限制。</w:t>
            </w:r>
          </w:p>
        </w:tc>
      </w:tr>
      <w:tr>
        <w:tblPrEx>
          <w:tblCellMar>
            <w:top w:w="0" w:type="dxa"/>
            <w:left w:w="108" w:type="dxa"/>
            <w:bottom w:w="0" w:type="dxa"/>
            <w:right w:w="108" w:type="dxa"/>
          </w:tblCellMar>
        </w:tblPrEx>
        <w:trPr>
          <w:trHeight w:val="102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w:t>
            </w:r>
            <w:r>
              <w:rPr>
                <w:rFonts w:ascii="宋体" w:hAnsi="宋体" w:eastAsia="宋体" w:cs="宋体"/>
                <w:color w:val="auto"/>
                <w:sz w:val="18"/>
                <w:szCs w:val="18"/>
              </w:rPr>
              <w:t>8</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工程造价</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管理科学与工程（工程造价、工程管理、工程商业管理方向）</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取得硕士研究生学历且获得硕士学位的应届毕业生或毕业3年之内的往届毕业生；取得相应专业博士研究生毕业证且具有学位者不受毕业年限限制；取得副高</w:t>
            </w:r>
            <w:r>
              <w:rPr>
                <w:rFonts w:hint="eastAsia" w:ascii="宋体" w:hAnsi="宋体" w:eastAsia="宋体" w:cs="宋体"/>
                <w:color w:val="auto"/>
                <w:kern w:val="0"/>
                <w:sz w:val="18"/>
                <w:szCs w:val="18"/>
                <w:lang w:val="en-US" w:eastAsia="zh-CN" w:bidi="ar"/>
              </w:rPr>
              <w:t>级</w:t>
            </w:r>
            <w:r>
              <w:rPr>
                <w:rFonts w:hint="eastAsia" w:ascii="宋体" w:hAnsi="宋体" w:eastAsia="宋体" w:cs="宋体"/>
                <w:color w:val="auto"/>
                <w:kern w:val="0"/>
                <w:sz w:val="18"/>
                <w:szCs w:val="18"/>
                <w:lang w:bidi="ar"/>
              </w:rPr>
              <w:t>及以上职称且具有相应专业学科建设经验或在学科方向有研究背景者不受毕业年限限制。</w:t>
            </w:r>
          </w:p>
        </w:tc>
      </w:tr>
      <w:tr>
        <w:tblPrEx>
          <w:tblCellMar>
            <w:top w:w="0" w:type="dxa"/>
            <w:left w:w="108" w:type="dxa"/>
            <w:bottom w:w="0" w:type="dxa"/>
            <w:right w:w="108" w:type="dxa"/>
          </w:tblCellMar>
        </w:tblPrEx>
        <w:trPr>
          <w:trHeight w:val="109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ascii="宋体" w:hAnsi="宋体" w:eastAsia="宋体" w:cs="宋体"/>
                <w:color w:val="auto"/>
                <w:kern w:val="0"/>
                <w:sz w:val="18"/>
                <w:szCs w:val="18"/>
                <w:lang w:bidi="ar"/>
              </w:rPr>
              <w:t>19</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矿物资源工程</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矿业工程（矿业工程、采矿工程专业方向）、地质资源与地质工程（地质工程专业方向）</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取得硕士研究生学历且获得硕士学位的应届毕业生或毕业3年之内的往届毕业生；取得相应专业博士研究生毕业证且具有学位者不受毕业年限限制；取得副高</w:t>
            </w:r>
            <w:r>
              <w:rPr>
                <w:rFonts w:hint="eastAsia" w:ascii="宋体" w:hAnsi="宋体" w:eastAsia="宋体" w:cs="宋体"/>
                <w:color w:val="auto"/>
                <w:kern w:val="0"/>
                <w:sz w:val="18"/>
                <w:szCs w:val="18"/>
                <w:lang w:val="en-US" w:eastAsia="zh-CN" w:bidi="ar"/>
              </w:rPr>
              <w:t>级</w:t>
            </w:r>
            <w:r>
              <w:rPr>
                <w:rFonts w:hint="eastAsia" w:ascii="宋体" w:hAnsi="宋体" w:eastAsia="宋体" w:cs="宋体"/>
                <w:color w:val="auto"/>
                <w:kern w:val="0"/>
                <w:sz w:val="18"/>
                <w:szCs w:val="18"/>
                <w:lang w:bidi="ar"/>
              </w:rPr>
              <w:t>及以上职称且具有相应专业学科建设经验或在学科方向有研究背景者不受毕业年限限制。</w:t>
            </w:r>
          </w:p>
        </w:tc>
      </w:tr>
      <w:tr>
        <w:tblPrEx>
          <w:tblCellMar>
            <w:top w:w="0" w:type="dxa"/>
            <w:left w:w="108" w:type="dxa"/>
            <w:bottom w:w="0" w:type="dxa"/>
            <w:right w:w="108" w:type="dxa"/>
          </w:tblCellMar>
        </w:tblPrEx>
        <w:trPr>
          <w:trHeight w:val="94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0</w:t>
            </w:r>
          </w:p>
        </w:tc>
        <w:tc>
          <w:tcPr>
            <w:tcW w:w="26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6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建筑工程（绿色建筑）</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土木工程(土木与建筑工程专业方向、建筑与土木工程专业方向）、 桥梁与隧道工程、岩土工程、结构工程、土木水利（土木水利、土木工程、市政工程、人工环境工程专业方向）</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19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得硕士研究生学历且获得硕士学位的应届毕业生或毕业3年之内的往届毕业生；取得相应专业博士研究生毕业证且具有学位者不受毕业年限限制；取得副高及以上职称且具有相应专业学科建设经验或在学科方向有研究背景者不受毕业年限限制。</w:t>
            </w:r>
          </w:p>
        </w:tc>
      </w:tr>
    </w:tbl>
    <w:p>
      <w:pPr>
        <w:rPr>
          <w:color w:val="auto"/>
        </w:rPr>
      </w:pPr>
    </w:p>
    <w:tbl>
      <w:tblPr>
        <w:tblStyle w:val="3"/>
        <w:tblW w:w="4996" w:type="pct"/>
        <w:tblInd w:w="0" w:type="dxa"/>
        <w:tblLayout w:type="fixed"/>
        <w:tblCellMar>
          <w:top w:w="0" w:type="dxa"/>
          <w:left w:w="108" w:type="dxa"/>
          <w:bottom w:w="0" w:type="dxa"/>
          <w:right w:w="108" w:type="dxa"/>
        </w:tblCellMar>
      </w:tblPr>
      <w:tblGrid>
        <w:gridCol w:w="421"/>
        <w:gridCol w:w="739"/>
        <w:gridCol w:w="1898"/>
        <w:gridCol w:w="3857"/>
        <w:gridCol w:w="1144"/>
        <w:gridCol w:w="585"/>
        <w:gridCol w:w="5519"/>
      </w:tblGrid>
      <w:tr>
        <w:tblPrEx>
          <w:tblCellMar>
            <w:top w:w="0" w:type="dxa"/>
            <w:left w:w="108" w:type="dxa"/>
            <w:bottom w:w="0" w:type="dxa"/>
            <w:right w:w="108" w:type="dxa"/>
          </w:tblCellMar>
        </w:tblPrEx>
        <w:trPr>
          <w:trHeight w:val="1005" w:hRule="atLeast"/>
        </w:trPr>
        <w:tc>
          <w:tcPr>
            <w:tcW w:w="14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1</w:t>
            </w:r>
          </w:p>
        </w:tc>
        <w:tc>
          <w:tcPr>
            <w:tcW w:w="261" w:type="pct"/>
            <w:vMerge w:val="restart"/>
            <w:tcBorders>
              <w:top w:val="single" w:color="auto" w:sz="4" w:space="0"/>
              <w:left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化学工程系（7）</w:t>
            </w:r>
          </w:p>
        </w:tc>
        <w:tc>
          <w:tcPr>
            <w:tcW w:w="67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应用化学</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化学（分析化学）、化学工程与技术（应用化学）</w:t>
            </w:r>
          </w:p>
        </w:tc>
        <w:tc>
          <w:tcPr>
            <w:tcW w:w="40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博士研究生</w:t>
            </w:r>
          </w:p>
        </w:tc>
        <w:tc>
          <w:tcPr>
            <w:tcW w:w="20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p>
        </w:tc>
      </w:tr>
      <w:tr>
        <w:tblPrEx>
          <w:tblCellMar>
            <w:top w:w="0" w:type="dxa"/>
            <w:left w:w="108" w:type="dxa"/>
            <w:bottom w:w="0" w:type="dxa"/>
            <w:right w:w="108" w:type="dxa"/>
          </w:tblCellMar>
        </w:tblPrEx>
        <w:trPr>
          <w:trHeight w:val="100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2</w:t>
            </w:r>
          </w:p>
        </w:tc>
        <w:tc>
          <w:tcPr>
            <w:tcW w:w="261" w:type="pct"/>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化学工程与工艺</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化学工程与技术（化学工程、化学工艺、工业催化）、动力工程及工程热物理（化工过程机械）</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博士研究生</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p>
        </w:tc>
      </w:tr>
      <w:tr>
        <w:tblPrEx>
          <w:tblCellMar>
            <w:top w:w="0" w:type="dxa"/>
            <w:left w:w="108" w:type="dxa"/>
            <w:bottom w:w="0" w:type="dxa"/>
            <w:right w:w="108" w:type="dxa"/>
          </w:tblCellMar>
        </w:tblPrEx>
        <w:trPr>
          <w:trHeight w:val="100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3</w:t>
            </w:r>
          </w:p>
        </w:tc>
        <w:tc>
          <w:tcPr>
            <w:tcW w:w="261" w:type="pct"/>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应用化工技术</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化学、化学工程与技术</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本科专业为能源化学工程，研究生阶段研究方向为新能源科学与工程或储能科学与工程</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100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4</w:t>
            </w:r>
          </w:p>
        </w:tc>
        <w:tc>
          <w:tcPr>
            <w:tcW w:w="261"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应用化工技术</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化学、化学工程与技术</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kern w:val="0"/>
                <w:sz w:val="18"/>
                <w:szCs w:val="18"/>
                <w:lang w:eastAsia="zh-CN" w:bidi="ar"/>
              </w:rPr>
            </w:pPr>
            <w:r>
              <w:rPr>
                <w:rFonts w:hint="eastAsia" w:ascii="宋体" w:hAnsi="宋体" w:eastAsia="宋体" w:cs="宋体"/>
                <w:color w:val="auto"/>
                <w:kern w:val="0"/>
                <w:sz w:val="18"/>
                <w:szCs w:val="18"/>
                <w:lang w:bidi="ar"/>
              </w:rPr>
              <w:t>本科专业为新能源科学与工程或储能科学与工程</w:t>
            </w:r>
            <w:r>
              <w:rPr>
                <w:rFonts w:hint="eastAsia" w:ascii="宋体" w:hAnsi="宋体" w:eastAsia="宋体" w:cs="宋体"/>
                <w:color w:val="auto"/>
                <w:kern w:val="0"/>
                <w:sz w:val="18"/>
                <w:szCs w:val="18"/>
                <w:lang w:eastAsia="zh-CN" w:bidi="ar"/>
              </w:rPr>
              <w:t>，</w:t>
            </w:r>
            <w:r>
              <w:rPr>
                <w:rFonts w:hint="eastAsia" w:ascii="宋体" w:hAnsi="宋体" w:eastAsia="宋体" w:cs="宋体"/>
                <w:color w:val="auto"/>
                <w:kern w:val="0"/>
                <w:sz w:val="18"/>
                <w:szCs w:val="18"/>
                <w:lang w:bidi="ar"/>
              </w:rPr>
              <w:t>研究生阶段研究方向为新能源科学与工程或储能科学与工程</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106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5</w:t>
            </w:r>
          </w:p>
        </w:tc>
        <w:tc>
          <w:tcPr>
            <w:tcW w:w="261"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数学与计算机工程系</w:t>
            </w:r>
          </w:p>
          <w:p>
            <w:pPr>
              <w:jc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（9）</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数学</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数学</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可承担高校数学类课程的教学工作。</w:t>
            </w:r>
          </w:p>
        </w:tc>
      </w:tr>
      <w:tr>
        <w:tblPrEx>
          <w:tblCellMar>
            <w:top w:w="0" w:type="dxa"/>
            <w:left w:w="108" w:type="dxa"/>
            <w:bottom w:w="0" w:type="dxa"/>
            <w:right w:w="108" w:type="dxa"/>
          </w:tblCellMar>
        </w:tblPrEx>
        <w:trPr>
          <w:trHeight w:val="106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6</w:t>
            </w:r>
          </w:p>
        </w:tc>
        <w:tc>
          <w:tcPr>
            <w:tcW w:w="261" w:type="pct"/>
            <w:vMerge w:val="continue"/>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计算机科学与技术</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计算机科学与技术、控制科学与工程、软件工程、网络空间安全</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副高及以上职称可放宽学历条件至本科。</w:t>
            </w:r>
          </w:p>
        </w:tc>
      </w:tr>
      <w:tr>
        <w:tblPrEx>
          <w:tblCellMar>
            <w:top w:w="0" w:type="dxa"/>
            <w:left w:w="108" w:type="dxa"/>
            <w:bottom w:w="0" w:type="dxa"/>
            <w:right w:w="108" w:type="dxa"/>
          </w:tblCellMar>
        </w:tblPrEx>
        <w:trPr>
          <w:trHeight w:val="151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7</w:t>
            </w:r>
          </w:p>
        </w:tc>
        <w:tc>
          <w:tcPr>
            <w:tcW w:w="26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数据科学与大数据技术</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计算机科学与技术、控制科学与工程、软件工程、网络空间安全、数学</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副高及以上职称可放宽学历条件至本科。</w:t>
            </w:r>
          </w:p>
        </w:tc>
      </w:tr>
      <w:tr>
        <w:tblPrEx>
          <w:tblCellMar>
            <w:top w:w="0" w:type="dxa"/>
            <w:left w:w="108" w:type="dxa"/>
            <w:bottom w:w="0" w:type="dxa"/>
            <w:right w:w="108" w:type="dxa"/>
          </w:tblCellMar>
        </w:tblPrEx>
        <w:trPr>
          <w:trHeight w:val="123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r>
              <w:rPr>
                <w:rFonts w:ascii="宋体" w:hAnsi="宋体" w:eastAsia="宋体" w:cs="宋体"/>
                <w:color w:val="auto"/>
                <w:kern w:val="0"/>
                <w:sz w:val="18"/>
                <w:szCs w:val="18"/>
                <w:lang w:bidi="ar"/>
              </w:rPr>
              <w:t>8</w:t>
            </w:r>
          </w:p>
        </w:tc>
        <w:tc>
          <w:tcPr>
            <w:tcW w:w="261" w:type="pct"/>
            <w:vMerge w:val="restart"/>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管理系</w:t>
            </w:r>
          </w:p>
          <w:p>
            <w:pPr>
              <w:jc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（6）</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旅游管理与服务教育</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旅游管理、人文地理学、自然地理学</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取得副教授及以上职称或具有高级资格证，有相关行业从业经历。</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2</w:t>
            </w:r>
            <w:r>
              <w:rPr>
                <w:rFonts w:ascii="宋体" w:hAnsi="宋体" w:eastAsia="宋体" w:cs="宋体"/>
                <w:color w:val="auto"/>
                <w:sz w:val="18"/>
                <w:szCs w:val="18"/>
              </w:rPr>
              <w:t>9</w:t>
            </w:r>
          </w:p>
        </w:tc>
        <w:tc>
          <w:tcPr>
            <w:tcW w:w="261" w:type="pct"/>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社会工作</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社会学、政治学</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取得副教授及以上职称或具有高级职业资格证，有相关行业从业经历。</w:t>
            </w:r>
          </w:p>
        </w:tc>
      </w:tr>
      <w:tr>
        <w:tblPrEx>
          <w:tblCellMar>
            <w:top w:w="0" w:type="dxa"/>
            <w:left w:w="108" w:type="dxa"/>
            <w:bottom w:w="0" w:type="dxa"/>
            <w:right w:w="108" w:type="dxa"/>
          </w:tblCellMar>
        </w:tblPrEx>
        <w:trPr>
          <w:trHeight w:val="66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r>
              <w:rPr>
                <w:rFonts w:ascii="宋体" w:hAnsi="宋体" w:eastAsia="宋体" w:cs="宋体"/>
                <w:color w:val="auto"/>
                <w:kern w:val="0"/>
                <w:sz w:val="18"/>
                <w:szCs w:val="18"/>
                <w:lang w:bidi="ar"/>
              </w:rPr>
              <w:t>0</w:t>
            </w:r>
          </w:p>
        </w:tc>
        <w:tc>
          <w:tcPr>
            <w:tcW w:w="261" w:type="pct"/>
            <w:vMerge w:val="continue"/>
            <w:tcBorders>
              <w:left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财务管理</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会计学、工商管理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取得副高以上职称，有相关行业从业经历。</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r>
              <w:rPr>
                <w:rFonts w:ascii="宋体" w:hAnsi="宋体" w:eastAsia="宋体" w:cs="宋体"/>
                <w:color w:val="auto"/>
                <w:kern w:val="0"/>
                <w:sz w:val="18"/>
                <w:szCs w:val="18"/>
                <w:lang w:bidi="ar"/>
              </w:rPr>
              <w:t>1</w:t>
            </w:r>
          </w:p>
        </w:tc>
        <w:tc>
          <w:tcPr>
            <w:tcW w:w="261" w:type="pct"/>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财务管理</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会计学、工商管理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有2年以上高校教学经历。</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ascii="宋体" w:hAnsi="宋体" w:eastAsia="宋体" w:cs="宋体"/>
                <w:color w:val="auto"/>
                <w:kern w:val="0"/>
                <w:sz w:val="18"/>
                <w:szCs w:val="18"/>
                <w:lang w:bidi="ar"/>
              </w:rPr>
              <w:t>2</w:t>
            </w:r>
          </w:p>
        </w:tc>
        <w:tc>
          <w:tcPr>
            <w:tcW w:w="261" w:type="pct"/>
            <w:vMerge w:val="continue"/>
            <w:tcBorders>
              <w:left w:val="single" w:color="000000"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英语</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专任教</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外国语言文学（英语）</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有2年以上高校教学经历。</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3</w:t>
            </w:r>
            <w:r>
              <w:rPr>
                <w:rFonts w:ascii="宋体" w:hAnsi="宋体" w:eastAsia="宋体" w:cs="宋体"/>
                <w:color w:val="auto"/>
                <w:kern w:val="0"/>
                <w:sz w:val="18"/>
                <w:szCs w:val="18"/>
                <w:lang w:bidi="ar"/>
              </w:rPr>
              <w:t>3</w:t>
            </w:r>
          </w:p>
        </w:tc>
        <w:tc>
          <w:tcPr>
            <w:tcW w:w="261" w:type="pct"/>
            <w:vMerge w:val="continue"/>
            <w:tcBorders>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英语</w:t>
            </w:r>
          </w:p>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外国语言文学（英语）</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8"/>
                <w:szCs w:val="18"/>
                <w:lang w:bidi="ar"/>
              </w:rPr>
            </w:pP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34</w:t>
            </w:r>
          </w:p>
        </w:tc>
        <w:tc>
          <w:tcPr>
            <w:tcW w:w="26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艺术系</w:t>
            </w:r>
          </w:p>
          <w:p>
            <w:pPr>
              <w:jc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（4）</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舞蹈表演</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舞蹈表演</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lang w:bidi="ar"/>
              </w:rPr>
              <w:t>具有研究生毕业证且获得硕士及以上学位证，或获得硕士及以上学位证并具有高级职称</w:t>
            </w:r>
            <w:r>
              <w:rPr>
                <w:rFonts w:hint="eastAsia" w:ascii="宋体" w:hAnsi="宋体" w:eastAsia="宋体" w:cs="宋体"/>
                <w:color w:val="auto"/>
                <w:kern w:val="0"/>
                <w:sz w:val="18"/>
                <w:szCs w:val="18"/>
                <w:lang w:eastAsia="zh-CN" w:bidi="ar"/>
              </w:rPr>
              <w:t>。</w:t>
            </w:r>
          </w:p>
        </w:tc>
      </w:tr>
      <w:tr>
        <w:tblPrEx>
          <w:tblCellMar>
            <w:top w:w="0" w:type="dxa"/>
            <w:left w:w="108" w:type="dxa"/>
            <w:bottom w:w="0" w:type="dxa"/>
            <w:right w:w="108" w:type="dxa"/>
          </w:tblCellMar>
        </w:tblPrEx>
        <w:trPr>
          <w:trHeight w:val="5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35</w:t>
            </w:r>
          </w:p>
        </w:tc>
        <w:tc>
          <w:tcPr>
            <w:tcW w:w="26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音乐表演</w:t>
            </w:r>
          </w:p>
          <w:p>
            <w:pPr>
              <w:jc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音乐表演（美声、民声、作曲）</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具有研究生毕业证且获得硕士及以上学位证，或获得硕士及以上学位证并具有高级职称。</w:t>
            </w:r>
          </w:p>
        </w:tc>
      </w:tr>
      <w:tr>
        <w:tblPrEx>
          <w:tblCellMar>
            <w:top w:w="0" w:type="dxa"/>
            <w:left w:w="108" w:type="dxa"/>
            <w:bottom w:w="0" w:type="dxa"/>
            <w:right w:w="108" w:type="dxa"/>
          </w:tblCellMar>
        </w:tblPrEx>
        <w:trPr>
          <w:trHeight w:val="60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36</w:t>
            </w:r>
          </w:p>
        </w:tc>
        <w:tc>
          <w:tcPr>
            <w:tcW w:w="261"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美术</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美术学、设计学</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8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7</w:t>
            </w:r>
          </w:p>
        </w:tc>
        <w:tc>
          <w:tcPr>
            <w:tcW w:w="26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auto"/>
                <w:kern w:val="0"/>
                <w:sz w:val="18"/>
                <w:szCs w:val="18"/>
                <w:lang w:bidi="ar"/>
              </w:rPr>
            </w:pPr>
            <w:r>
              <w:rPr>
                <w:rFonts w:hint="eastAsia" w:ascii="黑体" w:hAnsi="宋体" w:eastAsia="黑体" w:cs="黑体"/>
                <w:color w:val="auto"/>
                <w:kern w:val="0"/>
                <w:sz w:val="18"/>
                <w:szCs w:val="18"/>
                <w:lang w:bidi="ar"/>
              </w:rPr>
              <w:t>医学系</w:t>
            </w:r>
          </w:p>
          <w:p>
            <w:pPr>
              <w:jc w:val="center"/>
              <w:rPr>
                <w:rFonts w:ascii="黑体" w:hAnsi="宋体" w:eastAsia="黑体" w:cs="黑体"/>
                <w:color w:val="auto"/>
                <w:sz w:val="18"/>
                <w:szCs w:val="18"/>
              </w:rPr>
            </w:pPr>
            <w:r>
              <w:rPr>
                <w:rFonts w:hint="eastAsia" w:ascii="黑体" w:hAnsi="宋体" w:eastAsia="黑体" w:cs="黑体"/>
                <w:color w:val="auto"/>
                <w:kern w:val="0"/>
                <w:sz w:val="18"/>
                <w:szCs w:val="18"/>
                <w:lang w:bidi="ar"/>
              </w:rPr>
              <w:t>（</w:t>
            </w:r>
            <w:r>
              <w:rPr>
                <w:rFonts w:ascii="黑体" w:hAnsi="宋体" w:eastAsia="黑体" w:cs="黑体"/>
                <w:color w:val="auto"/>
                <w:kern w:val="0"/>
                <w:sz w:val="18"/>
                <w:szCs w:val="18"/>
                <w:lang w:bidi="ar"/>
              </w:rPr>
              <w:t>4</w:t>
            </w:r>
            <w:r>
              <w:rPr>
                <w:rFonts w:hint="eastAsia" w:ascii="黑体" w:hAnsi="宋体" w:eastAsia="黑体" w:cs="黑体"/>
                <w:color w:val="auto"/>
                <w:kern w:val="0"/>
                <w:sz w:val="18"/>
                <w:szCs w:val="18"/>
                <w:lang w:bidi="ar"/>
              </w:rPr>
              <w:t>）</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护理学</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护理学、护理</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p>
        </w:tc>
      </w:tr>
      <w:tr>
        <w:tblPrEx>
          <w:tblCellMar>
            <w:top w:w="0" w:type="dxa"/>
            <w:left w:w="108" w:type="dxa"/>
            <w:bottom w:w="0" w:type="dxa"/>
            <w:right w:w="108" w:type="dxa"/>
          </w:tblCellMar>
        </w:tblPrEx>
        <w:trPr>
          <w:trHeight w:val="675"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8</w:t>
            </w:r>
          </w:p>
        </w:tc>
        <w:tc>
          <w:tcPr>
            <w:tcW w:w="26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眼视光学</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眼科学、医学技术、人体解剖与组织胚胎学、生物医学工程</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硕士研究生为医学技术、人体解剖与组织胚胎学、生物医学工程专业者，其本科专业为眼视光学或眼视光医学且获得学学位。</w:t>
            </w:r>
          </w:p>
        </w:tc>
      </w:tr>
      <w:tr>
        <w:tblPrEx>
          <w:tblCellMar>
            <w:top w:w="0" w:type="dxa"/>
            <w:left w:w="108" w:type="dxa"/>
            <w:bottom w:w="0" w:type="dxa"/>
            <w:right w:w="108" w:type="dxa"/>
          </w:tblCellMar>
        </w:tblPrEx>
        <w:trPr>
          <w:trHeight w:val="72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3</w:t>
            </w:r>
            <w:r>
              <w:rPr>
                <w:rFonts w:ascii="宋体" w:hAnsi="宋体" w:eastAsia="宋体" w:cs="宋体"/>
                <w:color w:val="auto"/>
                <w:sz w:val="18"/>
                <w:szCs w:val="18"/>
              </w:rPr>
              <w:t>9</w:t>
            </w:r>
          </w:p>
        </w:tc>
        <w:tc>
          <w:tcPr>
            <w:tcW w:w="261"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黑体" w:hAnsi="宋体" w:eastAsia="黑体" w:cs="黑体"/>
                <w:color w:val="auto"/>
                <w:sz w:val="18"/>
                <w:szCs w:val="18"/>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8"/>
                <w:szCs w:val="18"/>
                <w:lang w:bidi="ar"/>
              </w:rPr>
            </w:pPr>
            <w:r>
              <w:rPr>
                <w:rFonts w:hint="eastAsia" w:ascii="宋体" w:hAnsi="宋体" w:eastAsia="宋体" w:cs="宋体"/>
                <w:color w:val="auto"/>
                <w:kern w:val="0"/>
                <w:sz w:val="18"/>
                <w:szCs w:val="18"/>
                <w:lang w:bidi="ar"/>
              </w:rPr>
              <w:t>医学影像技术</w:t>
            </w:r>
          </w:p>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专任教师</w:t>
            </w:r>
          </w:p>
        </w:tc>
        <w:tc>
          <w:tcPr>
            <w:tcW w:w="13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影像医学与核医学、医学技术、人体解剖与组织胚胎学、放射医学</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硕士研究生及以上</w:t>
            </w:r>
          </w:p>
        </w:tc>
        <w:tc>
          <w:tcPr>
            <w:tcW w:w="2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本科专业为医学影像技术或医学影像学专业且获得学士学位；硕士研究生为影像医学与核医学专业者，其研究方向为放射科或核医学科。</w:t>
            </w:r>
          </w:p>
        </w:tc>
      </w:tr>
    </w:tbl>
    <w:p>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llYjA5ODI1ZDNhOGVhZDE2NzI2NjM5N2UyOGQifQ=="/>
  </w:docVars>
  <w:rsids>
    <w:rsidRoot w:val="480D31DE"/>
    <w:rsid w:val="22A37279"/>
    <w:rsid w:val="480D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2022-07-11T09:23:00Z</dcterms:created>
  <dc:creator>ucfuhic</dc:creator>
  <cp:lastModifiedBy>ucfuhic</cp:lastModifiedBy>
  <dcterms:modified xsi:type="dcterms:W3CDTF">2022-07-11T09:26:13Z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7B59AF4FD531480280C8DE113A2156EA</vt:lpwstr>
  </property>
</Properties>
</file>