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90" w:lineRule="exact"/>
        <w:ind w:right="24"/>
        <w:jc w:val="center"/>
        <w:rPr>
          <w:rFonts w:hint="eastAsia" w:ascii="仿宋" w:hAnsi="仿宋" w:eastAsia="仿宋" w:cs="宋体-PUA"/>
          <w:b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44"/>
          <w:szCs w:val="44"/>
        </w:rPr>
        <w:t>2022年</w:t>
      </w:r>
      <w:r>
        <w:rPr>
          <w:rFonts w:hint="eastAsia" w:ascii="仿宋" w:hAnsi="仿宋" w:eastAsia="仿宋" w:cs="宋体-PUA"/>
          <w:b/>
          <w:kern w:val="0"/>
          <w:sz w:val="44"/>
          <w:szCs w:val="44"/>
        </w:rPr>
        <w:t>双峰县疾病预防控制中心公开招聘</w:t>
      </w:r>
    </w:p>
    <w:p>
      <w:pPr>
        <w:widowControl/>
        <w:spacing w:line="490" w:lineRule="exact"/>
        <w:ind w:right="24"/>
        <w:jc w:val="center"/>
        <w:rPr>
          <w:rFonts w:hint="eastAsia" w:ascii="仿宋" w:hAnsi="仿宋" w:eastAsia="仿宋" w:cs="华文新魏"/>
          <w:b/>
          <w:sz w:val="44"/>
          <w:szCs w:val="44"/>
        </w:rPr>
      </w:pPr>
      <w:r>
        <w:rPr>
          <w:rFonts w:hint="eastAsia" w:ascii="仿宋" w:hAnsi="仿宋" w:eastAsia="仿宋" w:cs="宋体-PUA"/>
          <w:b/>
          <w:kern w:val="0"/>
          <w:sz w:val="44"/>
          <w:szCs w:val="44"/>
        </w:rPr>
        <w:t>专业技术人员</w:t>
      </w:r>
      <w:r>
        <w:rPr>
          <w:rFonts w:hint="eastAsia" w:ascii="仿宋" w:hAnsi="仿宋" w:eastAsia="仿宋" w:cs="华文新魏"/>
          <w:b/>
          <w:sz w:val="44"/>
          <w:szCs w:val="44"/>
        </w:rPr>
        <w:t>计划与岗位表</w:t>
      </w:r>
    </w:p>
    <w:bookmarkEnd w:id="0"/>
    <w:p>
      <w:pPr>
        <w:widowControl/>
        <w:spacing w:line="490" w:lineRule="exact"/>
        <w:ind w:right="24"/>
        <w:jc w:val="center"/>
        <w:rPr>
          <w:rFonts w:hint="eastAsia" w:ascii="仿宋" w:hAnsi="仿宋" w:eastAsia="仿宋" w:cs="华文新魏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73"/>
        <w:gridCol w:w="872"/>
        <w:gridCol w:w="1219"/>
        <w:gridCol w:w="979"/>
        <w:gridCol w:w="738"/>
        <w:gridCol w:w="1193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-PU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县疾病预防控制中心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疾病控制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  <w:lang w:val="en-US" w:eastAsia="zh-CN"/>
              </w:rPr>
              <w:t>25周</w:t>
            </w:r>
            <w:r>
              <w:rPr>
                <w:rFonts w:hint="eastAsia" w:ascii="仿宋" w:hAnsi="仿宋" w:eastAsia="仿宋" w:cs="宋体-PUA"/>
                <w:kern w:val="0"/>
                <w:sz w:val="24"/>
              </w:rPr>
              <w:t>岁</w:t>
            </w:r>
          </w:p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以下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本科及以上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  <w:lang w:eastAsia="zh-CN"/>
              </w:rPr>
              <w:t>学士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预防医学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卫生检验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  <w:lang w:val="en-US" w:eastAsia="zh-CN"/>
              </w:rPr>
              <w:t>25周</w:t>
            </w:r>
            <w:r>
              <w:rPr>
                <w:rFonts w:hint="eastAsia" w:ascii="仿宋" w:hAnsi="仿宋" w:eastAsia="仿宋" w:cs="宋体-PUA"/>
                <w:kern w:val="0"/>
                <w:sz w:val="24"/>
              </w:rPr>
              <w:t>岁</w:t>
            </w:r>
          </w:p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以下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本科及以上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  <w:lang w:eastAsia="zh-CN"/>
              </w:rPr>
              <w:t>学士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卫生检验与检疫</w:t>
            </w: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b/>
                <w:kern w:val="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临床检验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  <w:lang w:val="en-US" w:eastAsia="zh-CN"/>
              </w:rPr>
              <w:t>25周</w:t>
            </w:r>
            <w:r>
              <w:rPr>
                <w:rFonts w:hint="eastAsia" w:ascii="仿宋" w:hAnsi="仿宋" w:eastAsia="仿宋" w:cs="宋体-PUA"/>
                <w:kern w:val="0"/>
                <w:sz w:val="24"/>
              </w:rPr>
              <w:t>岁</w:t>
            </w:r>
          </w:p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以下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本科及以上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  <w:lang w:eastAsia="zh-CN"/>
              </w:rPr>
              <w:t>学士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  <w:r>
              <w:rPr>
                <w:rFonts w:hint="eastAsia" w:ascii="仿宋" w:hAnsi="仿宋" w:eastAsia="仿宋" w:cs="宋体-PUA"/>
                <w:kern w:val="0"/>
                <w:sz w:val="24"/>
              </w:rPr>
              <w:t>医学检验技术</w:t>
            </w: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widowControl/>
              <w:spacing w:line="490" w:lineRule="exact"/>
              <w:ind w:right="24"/>
              <w:jc w:val="center"/>
              <w:rPr>
                <w:rFonts w:hint="eastAsia" w:ascii="仿宋" w:hAnsi="仿宋" w:eastAsia="仿宋" w:cs="宋体-PUA"/>
                <w:kern w:val="0"/>
                <w:sz w:val="24"/>
              </w:rPr>
            </w:pPr>
          </w:p>
        </w:tc>
      </w:tr>
    </w:tbl>
    <w:p>
      <w:pPr>
        <w:widowControl/>
        <w:spacing w:line="490" w:lineRule="exact"/>
        <w:ind w:right="24"/>
        <w:rPr>
          <w:rFonts w:hint="eastAsia" w:ascii="仿宋" w:hAnsi="仿宋" w:eastAsia="仿宋" w:cs="宋体-PUA"/>
          <w:kern w:val="0"/>
          <w:sz w:val="24"/>
        </w:rPr>
      </w:pPr>
      <w:r>
        <w:rPr>
          <w:rFonts w:hint="eastAsia" w:ascii="仿宋" w:hAnsi="仿宋" w:eastAsia="仿宋" w:cs="宋体-PUA"/>
          <w:kern w:val="0"/>
          <w:sz w:val="24"/>
        </w:rPr>
        <w:t>备注：年龄计算：</w:t>
      </w:r>
      <w:r>
        <w:rPr>
          <w:rFonts w:hint="eastAsia" w:ascii="仿宋" w:hAnsi="仿宋" w:eastAsia="仿宋" w:cs="宋体-PUA"/>
          <w:kern w:val="0"/>
          <w:sz w:val="24"/>
          <w:lang w:val="en-US" w:eastAsia="zh-CN"/>
        </w:rPr>
        <w:t>25周</w:t>
      </w:r>
      <w:r>
        <w:rPr>
          <w:rFonts w:hint="eastAsia" w:ascii="仿宋" w:hAnsi="仿宋" w:eastAsia="仿宋" w:cs="宋体-PUA"/>
          <w:kern w:val="0"/>
          <w:sz w:val="24"/>
        </w:rPr>
        <w:t>岁以下是指199</w:t>
      </w:r>
      <w:r>
        <w:rPr>
          <w:rFonts w:hint="eastAsia" w:ascii="仿宋" w:hAnsi="仿宋" w:eastAsia="仿宋" w:cs="宋体-PUA"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宋体-PUA"/>
          <w:kern w:val="0"/>
          <w:sz w:val="24"/>
        </w:rPr>
        <w:t>年</w:t>
      </w:r>
      <w:r>
        <w:rPr>
          <w:rFonts w:hint="eastAsia" w:ascii="仿宋" w:hAnsi="仿宋" w:eastAsia="仿宋" w:cs="宋体-PUA"/>
          <w:kern w:val="0"/>
          <w:sz w:val="24"/>
          <w:lang w:val="en-US" w:eastAsia="zh-CN"/>
        </w:rPr>
        <w:t>6</w:t>
      </w:r>
      <w:r>
        <w:rPr>
          <w:rFonts w:hint="eastAsia" w:ascii="仿宋" w:hAnsi="仿宋" w:eastAsia="仿宋" w:cs="宋体-PUA"/>
          <w:kern w:val="0"/>
          <w:sz w:val="24"/>
        </w:rPr>
        <w:t>月</w:t>
      </w:r>
      <w:r>
        <w:rPr>
          <w:rFonts w:hint="eastAsia" w:ascii="仿宋" w:hAnsi="仿宋" w:eastAsia="仿宋" w:cs="宋体-PUA"/>
          <w:kern w:val="0"/>
          <w:sz w:val="24"/>
          <w:lang w:val="en-US" w:eastAsia="zh-CN"/>
        </w:rPr>
        <w:t>22</w:t>
      </w:r>
      <w:r>
        <w:rPr>
          <w:rFonts w:hint="eastAsia" w:ascii="仿宋" w:hAnsi="仿宋" w:eastAsia="仿宋" w:cs="宋体-PUA"/>
          <w:kern w:val="0"/>
          <w:sz w:val="24"/>
        </w:rPr>
        <w:t>日及以后出生。</w:t>
      </w:r>
    </w:p>
    <w:p>
      <w:pPr>
        <w:widowControl/>
        <w:spacing w:line="490" w:lineRule="exact"/>
        <w:ind w:right="24"/>
        <w:rPr>
          <w:rFonts w:hint="eastAsia" w:ascii="仿宋" w:hAnsi="仿宋" w:eastAsia="仿宋" w:cs="宋体-PUA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2010600030001010101"/>
    <w:charset w:val="86"/>
    <w:family w:val="auto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OTVhM2RmZjZiZjQ2OTgxYzcyYWI4ZjE1MjEwYjkifQ=="/>
  </w:docVars>
  <w:rsids>
    <w:rsidRoot w:val="302C2C18"/>
    <w:rsid w:val="302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166</Characters>
  <Lines>0</Lines>
  <Paragraphs>0</Paragraphs>
  <TotalTime>0</TotalTime>
  <ScaleCrop>false</ScaleCrop>
  <LinksUpToDate>false</LinksUpToDate>
  <CharactersWithSpaces>166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2022-06-13T14:10:00Z</dcterms:created>
  <dc:creator>桎玖炽</dc:creator>
  <cp:lastModifiedBy>桎玖炽</cp:lastModifiedBy>
  <dcterms:modified xsi:type="dcterms:W3CDTF">2022-06-13T14:10:33Z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0BD6490F38DE485C9B61216785BCE8F8</vt:lpwstr>
  </property>
</Properties>
</file>