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jc w:val="both"/>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eastAsia="zh-CN"/>
        </w:rPr>
        <w:t>附件</w:t>
      </w:r>
      <w:r>
        <w:rPr>
          <w:rFonts w:hint="eastAsia" w:ascii="方正仿宋_GBK" w:hAnsi="方正仿宋_GBK" w:eastAsia="方正仿宋_GBK" w:cs="方正仿宋_GBK"/>
          <w:b/>
          <w:bCs/>
          <w:sz w:val="32"/>
          <w:szCs w:val="32"/>
          <w:lang w:val="en-US" w:eastAsia="zh-CN"/>
        </w:rPr>
        <w:t>4</w:t>
      </w:r>
    </w:p>
    <w:p>
      <w:pPr>
        <w:adjustRightInd w:val="0"/>
        <w:snapToGrid w:val="0"/>
        <w:spacing w:line="596"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重庆艺术</w:t>
      </w:r>
      <w:r>
        <w:rPr>
          <w:rFonts w:hint="eastAsia" w:ascii="方正小标宋_GBK" w:hAnsi="方正小标宋_GBK" w:eastAsia="方正小标宋_GBK" w:cs="方正小标宋_GBK"/>
          <w:sz w:val="44"/>
          <w:szCs w:val="44"/>
          <w:lang w:eastAsia="zh-CN"/>
        </w:rPr>
        <w:t>学校</w:t>
      </w:r>
      <w:r>
        <w:rPr>
          <w:rFonts w:hint="eastAsia" w:ascii="方正小标宋_GBK" w:hAnsi="方正小标宋_GBK" w:eastAsia="方正小标宋_GBK" w:cs="方正小标宋_GBK"/>
          <w:sz w:val="44"/>
          <w:szCs w:val="44"/>
        </w:rPr>
        <w:t>2022年</w:t>
      </w:r>
    </w:p>
    <w:p>
      <w:pPr>
        <w:adjustRightInd w:val="0"/>
        <w:snapToGrid w:val="0"/>
        <w:spacing w:line="596"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公开选调机关事业单位</w:t>
      </w:r>
      <w:r>
        <w:rPr>
          <w:rFonts w:hint="eastAsia" w:ascii="方正小标宋_GBK" w:hAnsi="方正小标宋_GBK" w:eastAsia="方正小标宋_GBK" w:cs="方正小标宋_GBK"/>
          <w:sz w:val="44"/>
          <w:szCs w:val="44"/>
        </w:rPr>
        <w:t>工作人员</w:t>
      </w:r>
    </w:p>
    <w:p>
      <w:pPr>
        <w:adjustRightInd w:val="0"/>
        <w:snapToGrid w:val="0"/>
        <w:spacing w:line="59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疫情防控注意事项</w:t>
      </w:r>
    </w:p>
    <w:p>
      <w:pPr>
        <w:adjustRightInd w:val="0"/>
        <w:snapToGrid w:val="0"/>
        <w:spacing w:line="596" w:lineRule="exact"/>
        <w:rPr>
          <w:rFonts w:ascii="方正仿宋_GBK" w:hAnsi="方正仿宋_GBK" w:eastAsia="方正仿宋_GBK" w:cs="方正仿宋_GBK"/>
          <w:szCs w:val="32"/>
        </w:rPr>
      </w:pP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shd w:val="clear" w:color="auto" w:fill="FFFFFF"/>
        </w:rPr>
        <w:t>一、</w:t>
      </w:r>
      <w:r>
        <w:rPr>
          <w:rFonts w:hint="eastAsia" w:ascii="方正仿宋_GBK" w:hAnsi="方正仿宋_GBK" w:eastAsia="方正仿宋_GBK" w:cs="方正仿宋_GBK"/>
          <w:color w:val="333333"/>
          <w:sz w:val="32"/>
          <w:szCs w:val="32"/>
          <w:shd w:val="clear" w:color="auto" w:fill="FFFFFF"/>
        </w:rPr>
        <w:t>应聘人员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应聘人员应聘前14天在渝且不离渝，不得与有境外旅居或中高风险地区人员有接触，严格按疫情防控要求做好本人防护。</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二、</w:t>
      </w:r>
      <w:r>
        <w:rPr>
          <w:rFonts w:hint="eastAsia" w:ascii="方正仿宋_GBK" w:hAnsi="方正仿宋_GBK" w:eastAsia="方正仿宋_GBK" w:cs="方正仿宋_GBK"/>
          <w:color w:val="333333"/>
          <w:sz w:val="32"/>
          <w:szCs w:val="32"/>
          <w:shd w:val="clear" w:color="auto" w:fill="FFFFFF"/>
        </w:rPr>
        <w:t>参与应聘当天，所有应聘人员须持48小时内（以采样时间为准）新冠肺炎病毒核酸检测阴性报告（纸质和电子均可），且重庆“渝康码”“通信大数据行程卡”显示为绿码，无异常（当日更新），体温查验＜37.3℃，且无异常情况的，可参加应聘。</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黑体_GBK" w:hAnsi="方正黑体_GBK" w:eastAsia="方正黑体_GBK" w:cs="方正黑体_GBK"/>
          <w:color w:val="333333"/>
          <w:sz w:val="32"/>
          <w:szCs w:val="32"/>
          <w:shd w:val="clear" w:color="auto" w:fill="FFFFFF"/>
        </w:rPr>
        <w:t>三、</w:t>
      </w:r>
      <w:r>
        <w:rPr>
          <w:rFonts w:hint="eastAsia" w:ascii="方正仿宋_GBK" w:hAnsi="方正仿宋_GBK" w:eastAsia="方正仿宋_GBK" w:cs="方正仿宋_GBK"/>
          <w:color w:val="333333"/>
          <w:sz w:val="32"/>
          <w:szCs w:val="32"/>
          <w:shd w:val="clear" w:color="auto" w:fill="FFFFFF"/>
        </w:rPr>
        <w:t>应聘当天，建议应聘人员提前到达指定地点，预留时间配合学校工作人员进行入场核验。须接受防疫安全检查和指导，出示“渝康码”、“通信大数据行程卡”备查，并扫描学校场所码。</w:t>
      </w:r>
    </w:p>
    <w:p>
      <w:pPr>
        <w:pStyle w:val="5"/>
        <w:shd w:val="clear" w:color="auto" w:fill="FFFFFF"/>
        <w:adjustRightInd w:val="0"/>
        <w:snapToGrid w:val="0"/>
        <w:spacing w:before="0" w:beforeAutospacing="0" w:after="0" w:afterAutospacing="0" w:line="596" w:lineRule="exact"/>
        <w:ind w:firstLine="645"/>
        <w:rPr>
          <w:rFonts w:ascii="微软雅黑" w:hAnsi="微软雅黑" w:eastAsia="微软雅黑" w:cs="微软雅黑"/>
          <w:color w:val="333333"/>
          <w:sz w:val="32"/>
          <w:szCs w:val="32"/>
        </w:rPr>
      </w:pPr>
      <w:r>
        <w:rPr>
          <w:rFonts w:hint="eastAsia" w:ascii="方正黑体_GBK" w:hAnsi="方正黑体_GBK" w:eastAsia="方正黑体_GBK" w:cs="方正黑体_GBK"/>
          <w:color w:val="333333"/>
          <w:sz w:val="32"/>
          <w:szCs w:val="32"/>
          <w:shd w:val="clear" w:color="auto" w:fill="FFFFFF"/>
        </w:rPr>
        <w:t>四、应聘人员有以下情况之一的，不得参与应聘</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（一）应聘前21天内有境外旅居史，尚未完成隔离医学观察等健康管理的人员。</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（二）新冠确诊病例、疑似病例和无症状感染者密切接触者、密接的密接，尚未完成隔离医学观察等健康管理的人员。</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（三）尚未出院的新冠确诊病例、疑似病例和无症状感染者；或者治愈出院的确诊病例或无症状感染者，但尚在随访医学观察期内的人员。</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（四）应聘前14天内，曾出现体温≥37.3℃或有疑似症状，但应聘前未排除传染病或仍存在身体不适症状的人员。</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（五）应聘前14天内有国内中高风险地区旅居史，未完成隔离医学观察等健康管理的人员。</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（六）应聘当天，重庆“渝康码”、“通信大数据行程卡”异常（黄码和红码）的人员。</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（七）应聘当天，根据疫情防控需要，不能按上述要求提供考前48小时内核酸检测阴性证明的人员。</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（八）因体温异常、干咳、乏力等症状，经现场医务专业人员确认有可疑症状的人员。</w:t>
      </w:r>
    </w:p>
    <w:p>
      <w:pPr>
        <w:pStyle w:val="5"/>
        <w:shd w:val="clear" w:color="auto" w:fill="FFFFFF"/>
        <w:adjustRightInd w:val="0"/>
        <w:snapToGrid w:val="0"/>
        <w:spacing w:before="0" w:beforeAutospacing="0" w:after="0" w:afterAutospacing="0" w:line="596" w:lineRule="exact"/>
        <w:ind w:firstLine="645"/>
        <w:rPr>
          <w:rFonts w:ascii="微软雅黑" w:hAnsi="微软雅黑" w:eastAsia="微软雅黑" w:cs="微软雅黑"/>
          <w:color w:val="333333"/>
          <w:sz w:val="32"/>
          <w:szCs w:val="32"/>
        </w:rPr>
      </w:pPr>
      <w:r>
        <w:rPr>
          <w:rFonts w:hint="eastAsia" w:ascii="方正黑体_GBK" w:hAnsi="方正黑体_GBK" w:eastAsia="方正黑体_GBK" w:cs="方正黑体_GBK"/>
          <w:color w:val="333333"/>
          <w:sz w:val="32"/>
          <w:szCs w:val="32"/>
          <w:shd w:val="clear" w:color="auto" w:fill="FFFFFF"/>
        </w:rPr>
        <w:t>五、应聘人员应遵守疫情防控相关规定，并做好自我防护</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rPr>
      </w:pPr>
      <w:r>
        <w:rPr>
          <w:rFonts w:hint="eastAsia" w:ascii="方正仿宋_GBK" w:hAnsi="方正仿宋_GBK" w:eastAsia="方正仿宋_GBK" w:cs="方正仿宋_GBK"/>
          <w:color w:val="333333"/>
          <w:sz w:val="32"/>
          <w:szCs w:val="32"/>
          <w:shd w:val="clear" w:color="auto" w:fill="FFFFFF"/>
        </w:rPr>
        <w:t>（一）应聘人员应当遵守本市疫情防控相关规定，主动及时了解相关疫情防控要求，积极配合学校做好现场防疫工作。</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（二）应聘人员在日常生活中，务必做好个人防护，避免前往人员密集地区，避免与无关人员接触。勤洗手，公共场所佩戴口罩，在各种场所保持一定的安全社交距离。</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（三）应聘人员在应聘当天，须自备口罩，进出校园时须佩戴口罩，在应聘过程中应全程佩戴口罩。</w:t>
      </w:r>
    </w:p>
    <w:p>
      <w:pPr>
        <w:pStyle w:val="5"/>
        <w:shd w:val="clear" w:color="auto" w:fill="FFFFFF"/>
        <w:adjustRightInd w:val="0"/>
        <w:snapToGrid w:val="0"/>
        <w:spacing w:before="0" w:beforeAutospacing="0" w:after="0" w:afterAutospacing="0" w:line="596" w:lineRule="exact"/>
        <w:ind w:firstLine="645"/>
        <w:rPr>
          <w:rFonts w:hint="eastAsia"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（四）在应聘过程中，参加应聘人员若出现发热、咳嗽、咽痛、头晕、呼吸困难、呕吐、腹泻等异常状况，应立即向考务组人员报告，有会场医务人员做好处置及跟进。</w:t>
      </w:r>
    </w:p>
    <w:p>
      <w:pPr>
        <w:pStyle w:val="5"/>
        <w:shd w:val="clear" w:color="auto" w:fill="FFFFFF"/>
        <w:adjustRightInd w:val="0"/>
        <w:snapToGrid w:val="0"/>
        <w:spacing w:before="0" w:beforeAutospacing="0" w:after="0" w:afterAutospacing="0" w:line="596" w:lineRule="exact"/>
        <w:ind w:firstLine="645"/>
        <w:rPr>
          <w:rFonts w:ascii="微软雅黑" w:hAnsi="微软雅黑" w:eastAsia="微软雅黑" w:cs="微软雅黑"/>
          <w:color w:val="333333"/>
          <w:sz w:val="32"/>
          <w:szCs w:val="32"/>
        </w:rPr>
      </w:pPr>
      <w:r>
        <w:rPr>
          <w:rFonts w:hint="eastAsia" w:ascii="方正黑体_GBK" w:hAnsi="方正黑体_GBK" w:eastAsia="方正黑体_GBK" w:cs="方正黑体_GBK"/>
          <w:color w:val="333333"/>
          <w:sz w:val="32"/>
          <w:szCs w:val="32"/>
          <w:shd w:val="clear" w:color="auto" w:fill="FFFFFF"/>
        </w:rPr>
        <w:t>六、其他事项</w:t>
      </w:r>
    </w:p>
    <w:p>
      <w:pPr>
        <w:pStyle w:val="5"/>
        <w:shd w:val="clear" w:color="auto" w:fill="FFFFFF"/>
        <w:adjustRightInd w:val="0"/>
        <w:snapToGrid w:val="0"/>
        <w:spacing w:before="0" w:beforeAutospacing="0" w:after="0" w:afterAutospacing="0" w:line="596" w:lineRule="exact"/>
        <w:ind w:firstLine="645"/>
        <w:rPr>
          <w:rFonts w:ascii="微软雅黑" w:hAnsi="微软雅黑" w:eastAsia="微软雅黑" w:cs="微软雅黑"/>
          <w:color w:val="333333"/>
          <w:sz w:val="32"/>
          <w:szCs w:val="32"/>
        </w:rPr>
      </w:pPr>
      <w:r>
        <w:rPr>
          <w:rFonts w:hint="eastAsia" w:ascii="方正仿宋_GBK" w:hAnsi="方正仿宋_GBK" w:eastAsia="方正仿宋_GBK" w:cs="方正仿宋_GBK"/>
          <w:color w:val="333333"/>
          <w:sz w:val="32"/>
          <w:szCs w:val="32"/>
          <w:shd w:val="clear" w:color="auto" w:fill="FFFFFF"/>
        </w:rPr>
        <w:t>疫情防控相关规定将根据国家和本市疫情防控的总体部署和最新要求进行动态调整，我校将及时发布最新通知。</w:t>
      </w:r>
    </w:p>
    <w:p>
      <w:pPr>
        <w:pStyle w:val="4"/>
        <w:rPr>
          <w:sz w:val="32"/>
          <w:szCs w:val="32"/>
        </w:rPr>
      </w:pPr>
    </w:p>
    <w:p>
      <w:pPr>
        <w:spacing w:line="594" w:lineRule="exact"/>
        <w:rPr>
          <w:rFonts w:ascii="方正仿宋_GBK" w:hAnsi="方正仿宋_GBK" w:eastAsia="方正仿宋_GBK" w:cs="方正仿宋_GBK"/>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pStyle w:val="4"/>
        <w:rPr>
          <w:rFonts w:ascii="方正仿宋_GBK" w:hAnsi="方正仿宋_GBK" w:eastAsia="方正仿宋_GBK" w:cs="方正仿宋_GBK"/>
          <w:sz w:val="32"/>
          <w:szCs w:val="32"/>
        </w:rPr>
      </w:pPr>
    </w:p>
    <w:p>
      <w:pPr>
        <w:spacing w:line="520" w:lineRule="exact"/>
        <w:jc w:val="center"/>
        <w:rPr>
          <w:rFonts w:hint="eastAsia" w:ascii="方正小标宋_GBK" w:hAnsi="方正小标宋_GBK" w:eastAsia="方正小标宋_GBK" w:cs="方正小标宋_GBK"/>
          <w:sz w:val="44"/>
          <w:szCs w:val="44"/>
        </w:rPr>
      </w:pPr>
    </w:p>
    <w:p>
      <w:pPr>
        <w:spacing w:line="520" w:lineRule="exact"/>
        <w:jc w:val="center"/>
        <w:rPr>
          <w:rFonts w:hint="eastAsia" w:ascii="方正小标宋_GBK" w:hAnsi="方正小标宋_GBK" w:eastAsia="方正小标宋_GBK" w:cs="方正小标宋_GBK"/>
          <w:sz w:val="44"/>
          <w:szCs w:val="44"/>
        </w:rPr>
      </w:pPr>
    </w:p>
    <w:p>
      <w:pPr>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个人健康承诺书</w:t>
      </w:r>
    </w:p>
    <w:p>
      <w:pPr>
        <w:spacing w:line="520" w:lineRule="exact"/>
        <w:ind w:left="-97" w:leftChars="-46" w:firstLine="476" w:firstLineChars="227"/>
        <w:rPr>
          <w:rFonts w:ascii="楷体" w:hAnsi="楷体" w:eastAsia="楷体" w:cs="楷体"/>
          <w:szCs w:val="32"/>
        </w:rPr>
      </w:pPr>
    </w:p>
    <w:p>
      <w:pPr>
        <w:spacing w:line="520" w:lineRule="exact"/>
        <w:ind w:left="-97" w:leftChars="-46" w:firstLine="726" w:firstLineChars="227"/>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身份证号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手机号</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，家庭住址：</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日 自</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省（区、直辖市）</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市（区）前来参加重庆艺术</w:t>
      </w:r>
      <w:r>
        <w:rPr>
          <w:rFonts w:hint="eastAsia" w:ascii="方正仿宋_GBK" w:hAnsi="方正仿宋_GBK" w:eastAsia="方正仿宋_GBK" w:cs="方正仿宋_GBK"/>
          <w:sz w:val="32"/>
          <w:szCs w:val="32"/>
          <w:lang w:eastAsia="zh-CN"/>
        </w:rPr>
        <w:t>学校</w:t>
      </w:r>
      <w:r>
        <w:rPr>
          <w:rFonts w:hint="eastAsia" w:ascii="方正仿宋_GBK" w:hAnsi="方正仿宋_GBK" w:eastAsia="方正仿宋_GBK" w:cs="方正仿宋_GBK"/>
          <w:sz w:val="32"/>
          <w:szCs w:val="32"/>
        </w:rPr>
        <w:t>考核招聘。</w:t>
      </w:r>
    </w:p>
    <w:p>
      <w:pPr>
        <w:spacing w:line="520" w:lineRule="exact"/>
        <w:ind w:left="-97" w:leftChars="-46" w:firstLine="726" w:firstLineChars="227"/>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本人郑重承诺：本人及共同生活的亲属，最近14天以来，未发现身体不适，没有在高、中风险地区逗留过，未接触新冠肺炎确诊病例，在出行期间全程按要求作好了自我防护。近28天内，本人到过的国家、地区有</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。目前，本人身体状况为</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w:t>
      </w:r>
    </w:p>
    <w:p>
      <w:pPr>
        <w:spacing w:line="520" w:lineRule="exact"/>
        <w:ind w:left="-97" w:leftChars="-46" w:firstLine="726" w:firstLineChars="227"/>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本人承诺：上述信息完全属实，如有不实，本人愿意承担法律责任。</w:t>
      </w:r>
    </w:p>
    <w:p>
      <w:pPr>
        <w:spacing w:line="520" w:lineRule="exact"/>
        <w:rPr>
          <w:rFonts w:ascii="方正仿宋_GBK" w:hAnsi="方正仿宋_GBK" w:eastAsia="方正仿宋_GBK" w:cs="方正仿宋_GBK"/>
          <w:sz w:val="32"/>
          <w:szCs w:val="32"/>
        </w:rPr>
      </w:pPr>
    </w:p>
    <w:p>
      <w:pPr>
        <w:spacing w:line="520" w:lineRule="exact"/>
        <w:rPr>
          <w:rFonts w:ascii="方正仿宋_GBK" w:hAnsi="方正仿宋_GBK" w:eastAsia="方正仿宋_GBK" w:cs="方正仿宋_GBK"/>
          <w:sz w:val="32"/>
          <w:szCs w:val="32"/>
        </w:rPr>
      </w:pPr>
    </w:p>
    <w:p>
      <w:pPr>
        <w:spacing w:line="520" w:lineRule="exact"/>
        <w:ind w:firstLine="6400" w:firstLineChars="20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承诺人：</w:t>
      </w:r>
    </w:p>
    <w:p>
      <w:pPr>
        <w:spacing w:line="520" w:lineRule="exact"/>
        <w:ind w:left="-97" w:leftChars="-46" w:firstLine="726" w:firstLineChars="227"/>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ZjI5NGZlNDVmNzQ0OThmODJlY2ZlNTRhYTdhNzEifQ=="/>
  </w:docVars>
  <w:rsids>
    <w:rsidRoot w:val="00000000"/>
    <w:rsid w:val="2BC45716"/>
    <w:rsid w:val="4FD85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50" w:beforeAutospacing="0" w:after="50" w:afterAutospacing="0"/>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yperlink"/>
    <w:basedOn w:val="7"/>
    <w:qFormat/>
    <w:uiPriority w:val="0"/>
    <w:rPr>
      <w:color w:val="000000"/>
      <w:u w:val="none"/>
    </w:rPr>
  </w:style>
  <w:style w:type="character" w:customStyle="1" w:styleId="10">
    <w:name w:val="layui-this"/>
    <w:basedOn w:val="7"/>
    <w:uiPriority w:val="0"/>
    <w:rPr>
      <w:bdr w:val="single" w:color="EEEEEE" w:sz="4" w:space="0"/>
      <w:shd w:val="clear" w:fill="FFFFFF"/>
    </w:rPr>
  </w:style>
  <w:style w:type="character" w:customStyle="1" w:styleId="11">
    <w:name w:val="first-child"/>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310</Words>
  <Characters>313</Characters>
  <Lines>0</Lines>
  <Paragraphs>0</Paragraphs>
  <TotalTime>0</TotalTime>
  <ScaleCrop>false</ScaleCrop>
  <LinksUpToDate>false</LinksUpToDate>
  <CharactersWithSpaces>535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龚姝</dc:creator>
  <cp:lastModifiedBy>娃娃雪糕1418782602</cp:lastModifiedBy>
  <dcterms:modified xsi:type="dcterms:W3CDTF">2022-05-24T07:43:19Z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0617242FFDC64399AECFA9ED234B7B0B</vt:lpwstr>
  </property>
</Properties>
</file>