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cs="Times New Roman"/>
          <w:szCs w:val="32"/>
        </w:rPr>
      </w:pPr>
      <w:r>
        <w:rPr>
          <w:rFonts w:hint="default" w:ascii="Times New Roman" w:hAnsi="Times New Roman" w:eastAsia="方正黑体简体" w:cs="Times New Roman"/>
          <w:b/>
          <w:sz w:val="32"/>
          <w:szCs w:val="32"/>
        </w:rPr>
        <w:t>附件1</w:t>
      </w:r>
    </w:p>
    <w:p>
      <w:pPr>
        <w:spacing w:line="500" w:lineRule="exact"/>
        <w:jc w:val="center"/>
        <w:rPr>
          <w:rFonts w:hint="default" w:ascii="Times New Roman" w:hAnsi="Times New Roman" w:eastAsia="方正小标宋简体" w:cs="Times New Roman"/>
          <w:b/>
          <w:bCs/>
          <w:color w:val="000000"/>
          <w:kern w:val="0"/>
          <w:sz w:val="36"/>
          <w:szCs w:val="36"/>
        </w:rPr>
      </w:pPr>
      <w:r>
        <w:rPr>
          <w:rFonts w:hint="default" w:ascii="Times New Roman" w:hAnsi="Times New Roman" w:eastAsia="方正小标宋简体" w:cs="Times New Roman"/>
          <w:b/>
          <w:bCs/>
          <w:color w:val="000000"/>
          <w:kern w:val="0"/>
          <w:sz w:val="40"/>
          <w:szCs w:val="40"/>
        </w:rPr>
        <w:t>南充市广播电视台“嘉陵江英才工程”2022年度</w:t>
      </w:r>
      <w:r>
        <w:rPr>
          <w:rFonts w:hint="default" w:ascii="Times New Roman" w:hAnsi="Times New Roman" w:eastAsia="方正小标宋简体" w:cs="Times New Roman"/>
          <w:b/>
          <w:bCs/>
          <w:color w:val="000000"/>
          <w:kern w:val="0"/>
          <w:sz w:val="40"/>
          <w:szCs w:val="40"/>
          <w:lang w:eastAsia="zh-CN"/>
        </w:rPr>
        <w:t>引进高层次人才</w:t>
      </w:r>
      <w:r>
        <w:rPr>
          <w:rFonts w:hint="default" w:ascii="Times New Roman" w:hAnsi="Times New Roman" w:eastAsia="方正小标宋简体" w:cs="Times New Roman"/>
          <w:b/>
          <w:bCs/>
          <w:color w:val="000000"/>
          <w:kern w:val="0"/>
          <w:sz w:val="40"/>
          <w:szCs w:val="40"/>
        </w:rPr>
        <w:t>需求信息表</w:t>
      </w:r>
    </w:p>
    <w:tbl>
      <w:tblPr>
        <w:tblStyle w:val="4"/>
        <w:tblW w:w="14788" w:type="dxa"/>
        <w:jc w:val="center"/>
        <w:tblLayout w:type="fixed"/>
        <w:tblCellMar>
          <w:top w:w="0" w:type="dxa"/>
          <w:left w:w="108" w:type="dxa"/>
          <w:bottom w:w="0" w:type="dxa"/>
          <w:right w:w="108" w:type="dxa"/>
        </w:tblCellMar>
      </w:tblPr>
      <w:tblGrid>
        <w:gridCol w:w="849"/>
        <w:gridCol w:w="1305"/>
        <w:gridCol w:w="1513"/>
        <w:gridCol w:w="1003"/>
        <w:gridCol w:w="1817"/>
        <w:gridCol w:w="1118"/>
        <w:gridCol w:w="279"/>
        <w:gridCol w:w="2516"/>
        <w:gridCol w:w="85"/>
        <w:gridCol w:w="753"/>
        <w:gridCol w:w="1174"/>
        <w:gridCol w:w="2376"/>
      </w:tblGrid>
      <w:tr>
        <w:tblPrEx>
          <w:tblCellMar>
            <w:top w:w="0" w:type="dxa"/>
            <w:left w:w="108" w:type="dxa"/>
            <w:bottom w:w="0" w:type="dxa"/>
            <w:right w:w="108" w:type="dxa"/>
          </w:tblCellMar>
        </w:tblPrEx>
        <w:trPr>
          <w:trHeight w:val="708" w:hRule="atLeast"/>
          <w:jc w:val="center"/>
        </w:trPr>
        <w:tc>
          <w:tcPr>
            <w:tcW w:w="84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单位</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名称</w:t>
            </w:r>
          </w:p>
        </w:tc>
        <w:tc>
          <w:tcPr>
            <w:tcW w:w="2818"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南充市广播电视台</w:t>
            </w:r>
          </w:p>
        </w:tc>
        <w:tc>
          <w:tcPr>
            <w:tcW w:w="1003"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单位</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类别</w:t>
            </w:r>
          </w:p>
        </w:tc>
        <w:tc>
          <w:tcPr>
            <w:tcW w:w="1817"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事业单位</w:t>
            </w:r>
          </w:p>
        </w:tc>
        <w:tc>
          <w:tcPr>
            <w:tcW w:w="111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单位</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网址</w:t>
            </w:r>
          </w:p>
        </w:tc>
        <w:tc>
          <w:tcPr>
            <w:tcW w:w="2880"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https://www.ncntv.com.cn</w:t>
            </w:r>
          </w:p>
        </w:tc>
        <w:tc>
          <w:tcPr>
            <w:tcW w:w="753"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邮政</w:t>
            </w:r>
            <w:r>
              <w:rPr>
                <w:rFonts w:hint="default" w:ascii="Times New Roman" w:hAnsi="Times New Roman" w:eastAsia="方正仿宋简体" w:cs="Times New Roman"/>
                <w:b/>
                <w:color w:val="000000"/>
                <w:kern w:val="0"/>
                <w:sz w:val="24"/>
              </w:rPr>
              <w:br w:type="textWrapping"/>
            </w:r>
            <w:r>
              <w:rPr>
                <w:rFonts w:hint="default" w:ascii="Times New Roman" w:hAnsi="Times New Roman" w:eastAsia="方正仿宋简体" w:cs="Times New Roman"/>
                <w:b/>
                <w:color w:val="000000"/>
                <w:kern w:val="0"/>
                <w:sz w:val="24"/>
              </w:rPr>
              <w:t>编码</w:t>
            </w:r>
          </w:p>
        </w:tc>
        <w:tc>
          <w:tcPr>
            <w:tcW w:w="3550"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637000</w:t>
            </w:r>
          </w:p>
        </w:tc>
      </w:tr>
      <w:tr>
        <w:trPr>
          <w:trHeight w:val="708" w:hRule="atLeast"/>
          <w:jc w:val="center"/>
        </w:trPr>
        <w:tc>
          <w:tcPr>
            <w:tcW w:w="84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联系</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人</w:t>
            </w:r>
          </w:p>
        </w:tc>
        <w:tc>
          <w:tcPr>
            <w:tcW w:w="2818"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黄珊珊</w:t>
            </w:r>
          </w:p>
        </w:tc>
        <w:tc>
          <w:tcPr>
            <w:tcW w:w="1003"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联系</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电话</w:t>
            </w:r>
          </w:p>
        </w:tc>
        <w:tc>
          <w:tcPr>
            <w:tcW w:w="1817"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0817-2805157</w:t>
            </w:r>
          </w:p>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18080309628</w:t>
            </w:r>
          </w:p>
        </w:tc>
        <w:tc>
          <w:tcPr>
            <w:tcW w:w="1118"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E-mail</w:t>
            </w:r>
          </w:p>
        </w:tc>
        <w:tc>
          <w:tcPr>
            <w:tcW w:w="2880" w:type="dxa"/>
            <w:gridSpan w:val="3"/>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NCTV_HR@163.com</w:t>
            </w:r>
          </w:p>
        </w:tc>
        <w:tc>
          <w:tcPr>
            <w:tcW w:w="753"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通讯</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地址</w:t>
            </w:r>
          </w:p>
        </w:tc>
        <w:tc>
          <w:tcPr>
            <w:tcW w:w="3550" w:type="dxa"/>
            <w:gridSpan w:val="2"/>
            <w:tcBorders>
              <w:top w:val="single" w:color="auto" w:sz="4" w:space="0"/>
              <w:left w:val="nil"/>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南充市顺庆区丝绸路6号</w:t>
            </w:r>
          </w:p>
        </w:tc>
      </w:tr>
      <w:tr>
        <w:tblPrEx>
          <w:tblCellMar>
            <w:top w:w="0" w:type="dxa"/>
            <w:left w:w="108" w:type="dxa"/>
            <w:bottom w:w="0" w:type="dxa"/>
            <w:right w:w="108" w:type="dxa"/>
          </w:tblCellMar>
        </w:tblPrEx>
        <w:trPr>
          <w:trHeight w:val="998" w:hRule="atLeast"/>
          <w:jc w:val="center"/>
        </w:trPr>
        <w:tc>
          <w:tcPr>
            <w:tcW w:w="84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单位</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简介</w:t>
            </w:r>
          </w:p>
        </w:tc>
        <w:tc>
          <w:tcPr>
            <w:tcW w:w="13939" w:type="dxa"/>
            <w:gridSpan w:val="11"/>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80" w:lineRule="exact"/>
              <w:ind w:firstLine="481" w:firstLineChars="200"/>
              <w:jc w:val="left"/>
              <w:rPr>
                <w:rFonts w:hint="default" w:ascii="Times New Roman" w:hAnsi="Times New Roman" w:eastAsia="方正仿宋简体" w:cs="Times New Roman"/>
                <w:b/>
                <w:bCs/>
                <w:color w:val="000000"/>
                <w:kern w:val="0"/>
                <w:sz w:val="24"/>
              </w:rPr>
            </w:pPr>
            <w:r>
              <w:rPr>
                <w:rFonts w:hint="default" w:ascii="Times New Roman" w:hAnsi="Times New Roman" w:eastAsia="方正仿宋简体" w:cs="Times New Roman"/>
                <w:b/>
                <w:color w:val="000000"/>
                <w:sz w:val="24"/>
              </w:rPr>
              <w:t>南充市广播电视台由原南充人民广播电台、南充市电视台、南充广播电视报社整合组建而成，是经批准的公益二类正县级事业单位。全台拥有宣传部门10个，含：1个网站、1份报纸、2个频率、3个频道、3个记者站。初步建立起“报、网、屏、频、端、微”六位一体的全媒体传播矩阵，是市级两大主流媒体之一。</w:t>
            </w:r>
          </w:p>
        </w:tc>
      </w:tr>
      <w:tr>
        <w:trPr>
          <w:trHeight w:val="698" w:hRule="atLeast"/>
          <w:jc w:val="center"/>
        </w:trPr>
        <w:tc>
          <w:tcPr>
            <w:tcW w:w="849" w:type="dxa"/>
            <w:tcBorders>
              <w:top w:val="nil"/>
              <w:left w:val="single" w:color="auto" w:sz="4" w:space="0"/>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序号</w:t>
            </w:r>
          </w:p>
        </w:tc>
        <w:tc>
          <w:tcPr>
            <w:tcW w:w="1305"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引进</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岗位</w:t>
            </w:r>
          </w:p>
        </w:tc>
        <w:tc>
          <w:tcPr>
            <w:tcW w:w="2516"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专业</w:t>
            </w:r>
          </w:p>
        </w:tc>
        <w:tc>
          <w:tcPr>
            <w:tcW w:w="1817"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职务职称</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要求</w:t>
            </w:r>
          </w:p>
        </w:tc>
        <w:tc>
          <w:tcPr>
            <w:tcW w:w="1397"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学历学位</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要求</w:t>
            </w:r>
          </w:p>
        </w:tc>
        <w:tc>
          <w:tcPr>
            <w:tcW w:w="2516"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其他要求</w:t>
            </w:r>
          </w:p>
        </w:tc>
        <w:tc>
          <w:tcPr>
            <w:tcW w:w="838" w:type="dxa"/>
            <w:gridSpan w:val="2"/>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需求</w:t>
            </w:r>
            <w:r>
              <w:rPr>
                <w:rFonts w:hint="default" w:ascii="Times New Roman" w:hAnsi="Times New Roman" w:eastAsia="方正仿宋简体" w:cs="Times New Roman"/>
                <w:b/>
                <w:color w:val="000000"/>
                <w:kern w:val="0"/>
                <w:sz w:val="24"/>
              </w:rPr>
              <w:br w:type="textWrapping"/>
            </w:r>
            <w:r>
              <w:rPr>
                <w:rFonts w:hint="default" w:ascii="Times New Roman" w:hAnsi="Times New Roman" w:eastAsia="方正仿宋简体" w:cs="Times New Roman"/>
                <w:b/>
                <w:color w:val="000000"/>
                <w:kern w:val="0"/>
                <w:sz w:val="24"/>
              </w:rPr>
              <w:t>人数</w:t>
            </w:r>
          </w:p>
        </w:tc>
        <w:tc>
          <w:tcPr>
            <w:tcW w:w="1174"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引进</w:t>
            </w:r>
            <w:r>
              <w:rPr>
                <w:rFonts w:hint="default" w:ascii="Times New Roman" w:hAnsi="Times New Roman" w:eastAsia="方正仿宋简体" w:cs="Times New Roman"/>
                <w:b/>
                <w:color w:val="000000"/>
                <w:kern w:val="0"/>
                <w:sz w:val="24"/>
              </w:rPr>
              <w:br w:type="textWrapping"/>
            </w:r>
            <w:r>
              <w:rPr>
                <w:rFonts w:hint="default" w:ascii="Times New Roman" w:hAnsi="Times New Roman" w:eastAsia="方正仿宋简体" w:cs="Times New Roman"/>
                <w:b/>
                <w:color w:val="000000"/>
                <w:kern w:val="0"/>
                <w:sz w:val="24"/>
              </w:rPr>
              <w:t>方式</w:t>
            </w:r>
          </w:p>
        </w:tc>
        <w:tc>
          <w:tcPr>
            <w:tcW w:w="2376" w:type="dxa"/>
            <w:tcBorders>
              <w:top w:val="nil"/>
              <w:left w:val="nil"/>
              <w:bottom w:val="single" w:color="auto" w:sz="4" w:space="0"/>
              <w:right w:val="single" w:color="auto" w:sz="4" w:space="0"/>
            </w:tcBorders>
            <w:noWrap w:val="0"/>
            <w:tcMar>
              <w:top w:w="57" w:type="dxa"/>
              <w:bottom w:w="57" w:type="dxa"/>
            </w:tcMar>
            <w:vAlign w:val="center"/>
          </w:tcPr>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提供薪酬、生活待遇</w:t>
            </w:r>
          </w:p>
          <w:p>
            <w:pPr>
              <w:widowControl/>
              <w:spacing w:line="280" w:lineRule="exact"/>
              <w:jc w:val="center"/>
              <w:rPr>
                <w:rFonts w:hint="default" w:ascii="Times New Roman" w:hAnsi="Times New Roman" w:eastAsia="方正仿宋简体" w:cs="Times New Roman"/>
                <w:b/>
                <w:color w:val="000000"/>
                <w:kern w:val="0"/>
                <w:sz w:val="24"/>
              </w:rPr>
            </w:pPr>
            <w:r>
              <w:rPr>
                <w:rFonts w:hint="default" w:ascii="Times New Roman" w:hAnsi="Times New Roman" w:eastAsia="方正仿宋简体" w:cs="Times New Roman"/>
                <w:b/>
                <w:color w:val="000000"/>
                <w:kern w:val="0"/>
                <w:sz w:val="24"/>
              </w:rPr>
              <w:t>或其他优惠条件</w:t>
            </w:r>
          </w:p>
        </w:tc>
      </w:tr>
      <w:tr>
        <w:tblPrEx>
          <w:tblCellMar>
            <w:top w:w="0" w:type="dxa"/>
            <w:left w:w="108" w:type="dxa"/>
            <w:bottom w:w="0" w:type="dxa"/>
            <w:right w:w="108" w:type="dxa"/>
          </w:tblCellMar>
        </w:tblPrEx>
        <w:trPr>
          <w:trHeight w:val="1578" w:hRule="atLeast"/>
          <w:jc w:val="center"/>
        </w:trPr>
        <w:tc>
          <w:tcPr>
            <w:tcW w:w="84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1</w:t>
            </w:r>
          </w:p>
        </w:tc>
        <w:tc>
          <w:tcPr>
            <w:tcW w:w="1305"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视频</w:t>
            </w:r>
          </w:p>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编辑</w:t>
            </w:r>
          </w:p>
        </w:tc>
        <w:tc>
          <w:tcPr>
            <w:tcW w:w="2516"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广播电视学、网络与新媒体、电影制作学、动画学、设计学、动画艺术学、数字媒体艺术</w:t>
            </w:r>
          </w:p>
        </w:tc>
        <w:tc>
          <w:tcPr>
            <w:tcW w:w="1817"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p>
        </w:tc>
        <w:tc>
          <w:tcPr>
            <w:tcW w:w="1397"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bCs/>
                <w:color w:val="000000"/>
                <w:kern w:val="0"/>
                <w:sz w:val="24"/>
              </w:rPr>
              <w:t>硕士研究生及以上学历且取得相应学位</w:t>
            </w:r>
          </w:p>
        </w:tc>
        <w:tc>
          <w:tcPr>
            <w:tcW w:w="251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年龄不超过40周岁</w:t>
            </w:r>
          </w:p>
        </w:tc>
        <w:tc>
          <w:tcPr>
            <w:tcW w:w="838"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3</w:t>
            </w:r>
          </w:p>
        </w:tc>
        <w:tc>
          <w:tcPr>
            <w:tcW w:w="1174"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编制内</w:t>
            </w:r>
          </w:p>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刚性引进</w:t>
            </w:r>
          </w:p>
        </w:tc>
        <w:tc>
          <w:tcPr>
            <w:tcW w:w="23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p>
        </w:tc>
      </w:tr>
      <w:tr>
        <w:tblPrEx>
          <w:tblCellMar>
            <w:top w:w="0" w:type="dxa"/>
            <w:left w:w="108" w:type="dxa"/>
            <w:bottom w:w="0" w:type="dxa"/>
            <w:right w:w="108" w:type="dxa"/>
          </w:tblCellMar>
        </w:tblPrEx>
        <w:trPr>
          <w:trHeight w:val="1589" w:hRule="atLeast"/>
          <w:jc w:val="center"/>
        </w:trPr>
        <w:tc>
          <w:tcPr>
            <w:tcW w:w="849"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2</w:t>
            </w:r>
          </w:p>
        </w:tc>
        <w:tc>
          <w:tcPr>
            <w:tcW w:w="1305"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媒体</w:t>
            </w:r>
          </w:p>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技术</w:t>
            </w:r>
          </w:p>
        </w:tc>
        <w:tc>
          <w:tcPr>
            <w:tcW w:w="2516"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电气工程、电子科学与技术、电路与系统、计算机科学与技术、计算机应用技术、数字媒体技术</w:t>
            </w:r>
          </w:p>
        </w:tc>
        <w:tc>
          <w:tcPr>
            <w:tcW w:w="1817"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p>
        </w:tc>
        <w:tc>
          <w:tcPr>
            <w:tcW w:w="1397"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bCs/>
                <w:color w:val="000000"/>
                <w:kern w:val="0"/>
                <w:sz w:val="24"/>
              </w:rPr>
              <w:t>硕士研究生及以上学历且取得相应学位</w:t>
            </w:r>
          </w:p>
        </w:tc>
        <w:tc>
          <w:tcPr>
            <w:tcW w:w="251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年龄不超过40周岁</w:t>
            </w:r>
          </w:p>
        </w:tc>
        <w:tc>
          <w:tcPr>
            <w:tcW w:w="838" w:type="dxa"/>
            <w:gridSpan w:val="2"/>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2</w:t>
            </w:r>
          </w:p>
        </w:tc>
        <w:tc>
          <w:tcPr>
            <w:tcW w:w="1174"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编制内</w:t>
            </w:r>
          </w:p>
          <w:p>
            <w:pPr>
              <w:spacing w:line="280" w:lineRule="exact"/>
              <w:jc w:val="center"/>
              <w:rPr>
                <w:rFonts w:hint="default" w:ascii="Times New Roman" w:hAnsi="Times New Roman" w:eastAsia="方正仿宋简体" w:cs="Times New Roman"/>
                <w:b/>
                <w:color w:val="000000"/>
                <w:sz w:val="24"/>
              </w:rPr>
            </w:pPr>
            <w:r>
              <w:rPr>
                <w:rFonts w:hint="default" w:ascii="Times New Roman" w:hAnsi="Times New Roman" w:eastAsia="方正仿宋简体" w:cs="Times New Roman"/>
                <w:b/>
                <w:color w:val="000000"/>
                <w:sz w:val="24"/>
              </w:rPr>
              <w:t>刚性引进</w:t>
            </w:r>
          </w:p>
        </w:tc>
        <w:tc>
          <w:tcPr>
            <w:tcW w:w="23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80" w:lineRule="exact"/>
              <w:jc w:val="center"/>
              <w:rPr>
                <w:rFonts w:hint="default" w:ascii="Times New Roman" w:hAnsi="Times New Roman" w:eastAsia="方正仿宋简体" w:cs="Times New Roman"/>
                <w:b/>
                <w:color w:val="000000"/>
                <w:sz w:val="24"/>
              </w:rPr>
            </w:pPr>
          </w:p>
        </w:tc>
      </w:tr>
    </w:tbl>
    <w:p>
      <w:pPr>
        <w:spacing w:line="560" w:lineRule="exact"/>
        <w:rPr>
          <w:rFonts w:hint="default" w:ascii="Times New Roman" w:hAnsi="Times New Roman" w:eastAsia="方正小标宋简体" w:cs="Times New Roman"/>
          <w:sz w:val="44"/>
          <w:szCs w:val="44"/>
        </w:rPr>
        <w:sectPr>
          <w:pgSz w:w="16838" w:h="11906" w:orient="landscape"/>
          <w:pgMar w:top="1588" w:right="1985" w:bottom="1588" w:left="1701" w:header="851" w:footer="992" w:gutter="0"/>
          <w:cols w:space="720" w:num="1"/>
          <w:docGrid w:linePitch="312" w:charSpace="0"/>
        </w:sectPr>
      </w:pPr>
    </w:p>
    <w:p>
      <w:pPr>
        <w:pStyle w:val="2"/>
        <w:rPr>
          <w:rFonts w:hint="default" w:ascii="Times New Roman" w:hAnsi="Times New Roman" w:cs="Times New Roman"/>
          <w:lang w:val="en-US"/>
        </w:rPr>
      </w:pPr>
      <w:r>
        <w:rPr>
          <w:rFonts w:hint="default" w:ascii="Times New Roman" w:hAnsi="Times New Roman" w:eastAsia="方正黑体简体" w:cs="Times New Roman"/>
        </w:rPr>
        <w:t>附件</w:t>
      </w:r>
      <w:r>
        <w:rPr>
          <w:rFonts w:hint="default" w:ascii="Times New Roman" w:hAnsi="Times New Roman" w:eastAsia="方正黑体简体" w:cs="Times New Roman"/>
          <w:lang w:val="en-US"/>
        </w:rPr>
        <w:t>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bCs/>
          <w:sz w:val="40"/>
          <w:szCs w:val="40"/>
        </w:rPr>
      </w:pPr>
      <w:r>
        <w:rPr>
          <w:rFonts w:hint="default" w:ascii="Times New Roman" w:hAnsi="Times New Roman" w:eastAsia="方正小标宋简体" w:cs="Times New Roman"/>
          <w:b/>
          <w:bCs/>
          <w:w w:val="96"/>
          <w:sz w:val="40"/>
          <w:szCs w:val="40"/>
        </w:rPr>
        <w:t>南充市广播电视台2022年度引进高层次人才报名表</w:t>
      </w:r>
    </w:p>
    <w:tbl>
      <w:tblPr>
        <w:tblStyle w:val="4"/>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2"/>
        <w:gridCol w:w="1466"/>
        <w:gridCol w:w="838"/>
        <w:gridCol w:w="189"/>
        <w:gridCol w:w="412"/>
        <w:gridCol w:w="422"/>
        <w:gridCol w:w="322"/>
        <w:gridCol w:w="1404"/>
        <w:gridCol w:w="853"/>
        <w:gridCol w:w="56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姓 名</w:t>
            </w:r>
          </w:p>
        </w:tc>
        <w:tc>
          <w:tcPr>
            <w:tcW w:w="1466" w:type="dxa"/>
            <w:noWrap w:val="0"/>
            <w:vAlign w:val="center"/>
          </w:tcPr>
          <w:p>
            <w:pPr>
              <w:spacing w:line="300" w:lineRule="exact"/>
              <w:jc w:val="center"/>
              <w:rPr>
                <w:rFonts w:hint="default" w:ascii="Times New Roman" w:hAnsi="Times New Roman" w:eastAsia="方正仿宋简体" w:cs="Times New Roman"/>
                <w:b/>
                <w:sz w:val="24"/>
              </w:rPr>
            </w:pPr>
          </w:p>
        </w:tc>
        <w:tc>
          <w:tcPr>
            <w:tcW w:w="1027" w:type="dxa"/>
            <w:gridSpan w:val="2"/>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性 别</w:t>
            </w:r>
          </w:p>
        </w:tc>
        <w:tc>
          <w:tcPr>
            <w:tcW w:w="1156" w:type="dxa"/>
            <w:gridSpan w:val="3"/>
            <w:noWrap w:val="0"/>
            <w:vAlign w:val="center"/>
          </w:tcPr>
          <w:p>
            <w:pPr>
              <w:spacing w:line="300" w:lineRule="exact"/>
              <w:jc w:val="center"/>
              <w:rPr>
                <w:rFonts w:hint="default" w:ascii="Times New Roman" w:hAnsi="Times New Roman" w:eastAsia="方正仿宋简体" w:cs="Times New Roman"/>
                <w:b/>
                <w:sz w:val="24"/>
              </w:rPr>
            </w:pPr>
          </w:p>
        </w:tc>
        <w:tc>
          <w:tcPr>
            <w:tcW w:w="1404"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出 生</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年 月</w:t>
            </w:r>
          </w:p>
        </w:tc>
        <w:tc>
          <w:tcPr>
            <w:tcW w:w="1420"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717" w:type="dxa"/>
            <w:vMerge w:val="restart"/>
            <w:noWrap w:val="0"/>
            <w:vAlign w:val="center"/>
          </w:tcPr>
          <w:p>
            <w:pPr>
              <w:spacing w:line="320" w:lineRule="exact"/>
              <w:jc w:val="center"/>
              <w:rPr>
                <w:rFonts w:hint="default" w:ascii="Times New Roman" w:hAnsi="Times New Roman" w:eastAsia="方正仿宋简体" w:cs="Times New Roman"/>
                <w:b/>
                <w:sz w:val="24"/>
              </w:rPr>
            </w:pPr>
            <w:r>
              <w:rPr>
                <w:rFonts w:hint="default" w:ascii="Times New Roman" w:hAnsi="Times New Roman" w:eastAsia="方正仿宋简体" w:cs="Times New Roman"/>
                <w:b/>
                <w:kern w:val="0"/>
                <w:sz w:val="24"/>
              </w:rPr>
              <w:t>照 片</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（2寸彩色免冠）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232"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民 族</w:t>
            </w:r>
          </w:p>
        </w:tc>
        <w:tc>
          <w:tcPr>
            <w:tcW w:w="1466" w:type="dxa"/>
            <w:noWrap w:val="0"/>
            <w:vAlign w:val="center"/>
          </w:tcPr>
          <w:p>
            <w:pPr>
              <w:spacing w:line="300" w:lineRule="exact"/>
              <w:jc w:val="center"/>
              <w:rPr>
                <w:rFonts w:hint="default" w:ascii="Times New Roman" w:hAnsi="Times New Roman" w:eastAsia="方正仿宋简体" w:cs="Times New Roman"/>
                <w:b/>
                <w:sz w:val="24"/>
              </w:rPr>
            </w:pPr>
          </w:p>
        </w:tc>
        <w:tc>
          <w:tcPr>
            <w:tcW w:w="1027" w:type="dxa"/>
            <w:gridSpan w:val="2"/>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籍 贯</w:t>
            </w:r>
          </w:p>
        </w:tc>
        <w:tc>
          <w:tcPr>
            <w:tcW w:w="1156" w:type="dxa"/>
            <w:gridSpan w:val="3"/>
            <w:noWrap w:val="0"/>
            <w:vAlign w:val="center"/>
          </w:tcPr>
          <w:p>
            <w:pPr>
              <w:spacing w:line="300" w:lineRule="exact"/>
              <w:jc w:val="center"/>
              <w:rPr>
                <w:rFonts w:hint="default" w:ascii="Times New Roman" w:hAnsi="Times New Roman" w:eastAsia="方正仿宋简体" w:cs="Times New Roman"/>
                <w:b/>
                <w:sz w:val="24"/>
              </w:rPr>
            </w:pPr>
          </w:p>
        </w:tc>
        <w:tc>
          <w:tcPr>
            <w:tcW w:w="1404"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健 康</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状 况</w:t>
            </w:r>
          </w:p>
        </w:tc>
        <w:tc>
          <w:tcPr>
            <w:tcW w:w="1420"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717" w:type="dxa"/>
            <w:vMerge w:val="continue"/>
            <w:noWrap w:val="0"/>
            <w:vAlign w:val="center"/>
          </w:tcPr>
          <w:p>
            <w:pPr>
              <w:spacing w:line="320" w:lineRule="exact"/>
              <w:rPr>
                <w:rFonts w:hint="default"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入 党</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时 间</w:t>
            </w:r>
          </w:p>
        </w:tc>
        <w:tc>
          <w:tcPr>
            <w:tcW w:w="1466" w:type="dxa"/>
            <w:noWrap w:val="0"/>
            <w:vAlign w:val="center"/>
          </w:tcPr>
          <w:p>
            <w:pPr>
              <w:spacing w:line="300" w:lineRule="exact"/>
              <w:jc w:val="center"/>
              <w:rPr>
                <w:rFonts w:hint="default" w:ascii="Times New Roman" w:hAnsi="Times New Roman" w:eastAsia="方正仿宋简体" w:cs="Times New Roman"/>
                <w:b/>
                <w:sz w:val="24"/>
              </w:rPr>
            </w:pPr>
          </w:p>
        </w:tc>
        <w:tc>
          <w:tcPr>
            <w:tcW w:w="1027" w:type="dxa"/>
            <w:gridSpan w:val="2"/>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参 工</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时 间</w:t>
            </w:r>
          </w:p>
        </w:tc>
        <w:tc>
          <w:tcPr>
            <w:tcW w:w="1156" w:type="dxa"/>
            <w:gridSpan w:val="3"/>
            <w:noWrap w:val="0"/>
            <w:vAlign w:val="center"/>
          </w:tcPr>
          <w:p>
            <w:pPr>
              <w:spacing w:line="300" w:lineRule="exact"/>
              <w:jc w:val="center"/>
              <w:rPr>
                <w:rFonts w:hint="default" w:ascii="Times New Roman" w:hAnsi="Times New Roman" w:eastAsia="方正仿宋简体" w:cs="Times New Roman"/>
                <w:b/>
                <w:sz w:val="24"/>
              </w:rPr>
            </w:pPr>
          </w:p>
        </w:tc>
        <w:tc>
          <w:tcPr>
            <w:tcW w:w="1404"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专业技</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术职务</w:t>
            </w:r>
          </w:p>
        </w:tc>
        <w:tc>
          <w:tcPr>
            <w:tcW w:w="1420"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717" w:type="dxa"/>
            <w:vMerge w:val="continue"/>
            <w:noWrap w:val="0"/>
            <w:vAlign w:val="center"/>
          </w:tcPr>
          <w:p>
            <w:pPr>
              <w:spacing w:line="320" w:lineRule="exact"/>
              <w:rPr>
                <w:rFonts w:hint="default"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232" w:type="dxa"/>
            <w:vMerge w:val="restart"/>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学 历</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学 位</w:t>
            </w:r>
          </w:p>
        </w:tc>
        <w:tc>
          <w:tcPr>
            <w:tcW w:w="1466"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全日制</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教 育</w:t>
            </w:r>
          </w:p>
        </w:tc>
        <w:tc>
          <w:tcPr>
            <w:tcW w:w="2183" w:type="dxa"/>
            <w:gridSpan w:val="5"/>
            <w:noWrap w:val="0"/>
            <w:vAlign w:val="center"/>
          </w:tcPr>
          <w:p>
            <w:pPr>
              <w:spacing w:line="300" w:lineRule="exact"/>
              <w:jc w:val="center"/>
              <w:rPr>
                <w:rFonts w:hint="default" w:ascii="Times New Roman" w:hAnsi="Times New Roman" w:eastAsia="方正仿宋简体" w:cs="Times New Roman"/>
                <w:b/>
                <w:kern w:val="0"/>
                <w:sz w:val="24"/>
              </w:rPr>
            </w:pPr>
          </w:p>
        </w:tc>
        <w:tc>
          <w:tcPr>
            <w:tcW w:w="1404"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毕业院校</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系及专业</w:t>
            </w:r>
          </w:p>
        </w:tc>
        <w:tc>
          <w:tcPr>
            <w:tcW w:w="3137"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vMerge w:val="continue"/>
            <w:noWrap w:val="0"/>
            <w:vAlign w:val="center"/>
          </w:tcPr>
          <w:p>
            <w:pPr>
              <w:spacing w:line="300" w:lineRule="exact"/>
              <w:jc w:val="center"/>
              <w:rPr>
                <w:rFonts w:hint="default" w:ascii="Times New Roman" w:hAnsi="Times New Roman" w:eastAsia="方正仿宋简体" w:cs="Times New Roman"/>
                <w:b/>
                <w:kern w:val="0"/>
                <w:sz w:val="24"/>
              </w:rPr>
            </w:pPr>
          </w:p>
        </w:tc>
        <w:tc>
          <w:tcPr>
            <w:tcW w:w="1466"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在 职</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教 育</w:t>
            </w:r>
          </w:p>
        </w:tc>
        <w:tc>
          <w:tcPr>
            <w:tcW w:w="2183" w:type="dxa"/>
            <w:gridSpan w:val="5"/>
            <w:noWrap w:val="0"/>
            <w:vAlign w:val="center"/>
          </w:tcPr>
          <w:p>
            <w:pPr>
              <w:spacing w:line="300" w:lineRule="exact"/>
              <w:jc w:val="center"/>
              <w:rPr>
                <w:rFonts w:hint="default" w:ascii="Times New Roman" w:hAnsi="Times New Roman" w:eastAsia="方正仿宋简体" w:cs="Times New Roman"/>
                <w:b/>
                <w:kern w:val="0"/>
                <w:sz w:val="24"/>
              </w:rPr>
            </w:pPr>
          </w:p>
        </w:tc>
        <w:tc>
          <w:tcPr>
            <w:tcW w:w="1404" w:type="dxa"/>
            <w:noWrap w:val="0"/>
            <w:vAlign w:val="center"/>
          </w:tcPr>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毕业院校</w:t>
            </w:r>
          </w:p>
          <w:p>
            <w:pPr>
              <w:spacing w:line="30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系及专业</w:t>
            </w:r>
          </w:p>
        </w:tc>
        <w:tc>
          <w:tcPr>
            <w:tcW w:w="3137"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232"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身份证号</w:t>
            </w:r>
          </w:p>
        </w:tc>
        <w:tc>
          <w:tcPr>
            <w:tcW w:w="2493"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c>
          <w:tcPr>
            <w:tcW w:w="834" w:type="dxa"/>
            <w:gridSpan w:val="2"/>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联系</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电话</w:t>
            </w:r>
          </w:p>
        </w:tc>
        <w:tc>
          <w:tcPr>
            <w:tcW w:w="1726"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853"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电子</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邮箱</w:t>
            </w:r>
          </w:p>
        </w:tc>
        <w:tc>
          <w:tcPr>
            <w:tcW w:w="2284"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232"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现工作</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单位</w:t>
            </w:r>
          </w:p>
        </w:tc>
        <w:tc>
          <w:tcPr>
            <w:tcW w:w="8190" w:type="dxa"/>
            <w:gridSpan w:val="10"/>
            <w:noWrap w:val="0"/>
            <w:vAlign w:val="center"/>
          </w:tcPr>
          <w:p>
            <w:pPr>
              <w:spacing w:line="320" w:lineRule="exact"/>
              <w:jc w:val="center"/>
              <w:rPr>
                <w:rFonts w:hint="default"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232"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报考单位</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及岗位</w:t>
            </w:r>
          </w:p>
        </w:tc>
        <w:tc>
          <w:tcPr>
            <w:tcW w:w="8190" w:type="dxa"/>
            <w:gridSpan w:val="10"/>
            <w:noWrap w:val="0"/>
            <w:vAlign w:val="center"/>
          </w:tcPr>
          <w:p>
            <w:pPr>
              <w:spacing w:line="320" w:lineRule="exact"/>
              <w:jc w:val="center"/>
              <w:rPr>
                <w:rFonts w:hint="default"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1" w:hRule="atLeast"/>
          <w:jc w:val="center"/>
        </w:trPr>
        <w:tc>
          <w:tcPr>
            <w:tcW w:w="1232"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简</w:t>
            </w:r>
          </w:p>
          <w:p>
            <w:pPr>
              <w:pStyle w:val="3"/>
              <w:rPr>
                <w:rFonts w:hint="default" w:ascii="Times New Roman" w:hAnsi="Times New Roman" w:eastAsia="方正仿宋简体" w:cs="Times New Roman"/>
                <w:b/>
                <w:kern w:val="0"/>
                <w:sz w:val="24"/>
                <w:szCs w:val="24"/>
              </w:rPr>
            </w:pP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历</w:t>
            </w:r>
          </w:p>
        </w:tc>
        <w:tc>
          <w:tcPr>
            <w:tcW w:w="8190" w:type="dxa"/>
            <w:gridSpan w:val="10"/>
            <w:noWrap w:val="0"/>
            <w:vAlign w:val="center"/>
          </w:tcPr>
          <w:p>
            <w:pPr>
              <w:spacing w:line="320" w:lineRule="exact"/>
              <w:rPr>
                <w:rFonts w:hint="default" w:ascii="Times New Roman" w:hAnsi="Times New Roman" w:eastAsia="方正仿宋简体" w:cs="Times New Roman"/>
                <w:b/>
                <w:i/>
                <w:sz w:val="24"/>
              </w:rPr>
            </w:pPr>
            <w:r>
              <w:rPr>
                <w:rFonts w:hint="default" w:ascii="Times New Roman" w:hAnsi="Times New Roman" w:eastAsia="方正仿宋简体" w:cs="Times New Roman"/>
                <w:b/>
                <w:i/>
                <w:sz w:val="24"/>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1232" w:type="dxa"/>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奖惩</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情况</w:t>
            </w:r>
          </w:p>
        </w:tc>
        <w:tc>
          <w:tcPr>
            <w:tcW w:w="8190" w:type="dxa"/>
            <w:gridSpan w:val="10"/>
            <w:noWrap w:val="0"/>
            <w:vAlign w:val="center"/>
          </w:tcPr>
          <w:p>
            <w:pPr>
              <w:spacing w:line="320" w:lineRule="exact"/>
              <w:rPr>
                <w:rFonts w:hint="default" w:ascii="Times New Roman" w:hAnsi="Times New Roman" w:eastAsia="方正仿宋简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232" w:type="dxa"/>
            <w:vMerge w:val="restart"/>
            <w:noWrap w:val="0"/>
            <w:vAlign w:val="center"/>
          </w:tcPr>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家庭主要</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成员及重</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要社会</w:t>
            </w:r>
          </w:p>
          <w:p>
            <w:pPr>
              <w:spacing w:line="32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关系</w:t>
            </w:r>
          </w:p>
        </w:tc>
        <w:tc>
          <w:tcPr>
            <w:tcW w:w="1466" w:type="dxa"/>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称谓</w:t>
            </w:r>
          </w:p>
        </w:tc>
        <w:tc>
          <w:tcPr>
            <w:tcW w:w="838" w:type="dxa"/>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姓名</w:t>
            </w:r>
          </w:p>
        </w:tc>
        <w:tc>
          <w:tcPr>
            <w:tcW w:w="601" w:type="dxa"/>
            <w:gridSpan w:val="2"/>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年</w:t>
            </w:r>
          </w:p>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龄</w:t>
            </w:r>
          </w:p>
        </w:tc>
        <w:tc>
          <w:tcPr>
            <w:tcW w:w="744" w:type="dxa"/>
            <w:gridSpan w:val="2"/>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政治</w:t>
            </w:r>
          </w:p>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面貌</w:t>
            </w:r>
          </w:p>
        </w:tc>
        <w:tc>
          <w:tcPr>
            <w:tcW w:w="1404" w:type="dxa"/>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是否有</w:t>
            </w:r>
          </w:p>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回避关系</w:t>
            </w:r>
          </w:p>
        </w:tc>
        <w:tc>
          <w:tcPr>
            <w:tcW w:w="3137" w:type="dxa"/>
            <w:gridSpan w:val="3"/>
            <w:noWrap w:val="0"/>
            <w:vAlign w:val="center"/>
          </w:tcPr>
          <w:p>
            <w:pPr>
              <w:spacing w:line="240" w:lineRule="exact"/>
              <w:jc w:val="center"/>
              <w:rPr>
                <w:rFonts w:hint="default" w:ascii="Times New Roman" w:hAnsi="Times New Roman" w:eastAsia="方正仿宋简体" w:cs="Times New Roman"/>
                <w:b/>
                <w:kern w:val="0"/>
                <w:sz w:val="24"/>
              </w:rPr>
            </w:pPr>
            <w:r>
              <w:rPr>
                <w:rFonts w:hint="default" w:ascii="Times New Roman" w:hAnsi="Times New Roman" w:eastAsia="方正仿宋简体" w:cs="Times New Roman"/>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232" w:type="dxa"/>
            <w:vMerge w:val="continue"/>
            <w:noWrap w:val="0"/>
            <w:vAlign w:val="center"/>
          </w:tcPr>
          <w:p>
            <w:pPr>
              <w:spacing w:line="360" w:lineRule="exact"/>
              <w:rPr>
                <w:rFonts w:hint="default" w:ascii="Times New Roman" w:hAnsi="Times New Roman" w:eastAsia="方正仿宋简体" w:cs="Times New Roman"/>
                <w:b/>
                <w:sz w:val="24"/>
              </w:rPr>
            </w:pPr>
          </w:p>
        </w:tc>
        <w:tc>
          <w:tcPr>
            <w:tcW w:w="1466"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838"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601"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744"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404"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3137"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232" w:type="dxa"/>
            <w:vMerge w:val="continue"/>
            <w:noWrap w:val="0"/>
            <w:vAlign w:val="center"/>
          </w:tcPr>
          <w:p>
            <w:pPr>
              <w:spacing w:line="360" w:lineRule="exact"/>
              <w:rPr>
                <w:rFonts w:hint="default" w:ascii="Times New Roman" w:hAnsi="Times New Roman" w:eastAsia="方正仿宋简体" w:cs="Times New Roman"/>
                <w:b/>
                <w:sz w:val="24"/>
              </w:rPr>
            </w:pPr>
          </w:p>
        </w:tc>
        <w:tc>
          <w:tcPr>
            <w:tcW w:w="1466"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838"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601"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744"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404"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3137"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1232" w:type="dxa"/>
            <w:vMerge w:val="continue"/>
            <w:noWrap w:val="0"/>
            <w:vAlign w:val="center"/>
          </w:tcPr>
          <w:p>
            <w:pPr>
              <w:spacing w:line="360" w:lineRule="exact"/>
              <w:rPr>
                <w:rFonts w:hint="default" w:ascii="Times New Roman" w:hAnsi="Times New Roman" w:eastAsia="方正仿宋简体" w:cs="Times New Roman"/>
                <w:b/>
                <w:sz w:val="24"/>
              </w:rPr>
            </w:pPr>
          </w:p>
        </w:tc>
        <w:tc>
          <w:tcPr>
            <w:tcW w:w="1466"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838"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601"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744" w:type="dxa"/>
            <w:gridSpan w:val="2"/>
            <w:noWrap w:val="0"/>
            <w:vAlign w:val="center"/>
          </w:tcPr>
          <w:p>
            <w:pPr>
              <w:spacing w:line="320" w:lineRule="exact"/>
              <w:jc w:val="center"/>
              <w:rPr>
                <w:rFonts w:hint="default" w:ascii="Times New Roman" w:hAnsi="Times New Roman" w:eastAsia="方正仿宋简体" w:cs="Times New Roman"/>
                <w:b/>
                <w:kern w:val="0"/>
                <w:sz w:val="24"/>
              </w:rPr>
            </w:pPr>
          </w:p>
        </w:tc>
        <w:tc>
          <w:tcPr>
            <w:tcW w:w="1404" w:type="dxa"/>
            <w:noWrap w:val="0"/>
            <w:vAlign w:val="center"/>
          </w:tcPr>
          <w:p>
            <w:pPr>
              <w:spacing w:line="320" w:lineRule="exact"/>
              <w:jc w:val="center"/>
              <w:rPr>
                <w:rFonts w:hint="default" w:ascii="Times New Roman" w:hAnsi="Times New Roman" w:eastAsia="方正仿宋简体" w:cs="Times New Roman"/>
                <w:b/>
                <w:kern w:val="0"/>
                <w:sz w:val="24"/>
              </w:rPr>
            </w:pPr>
          </w:p>
        </w:tc>
        <w:tc>
          <w:tcPr>
            <w:tcW w:w="3137" w:type="dxa"/>
            <w:gridSpan w:val="3"/>
            <w:noWrap w:val="0"/>
            <w:vAlign w:val="center"/>
          </w:tcPr>
          <w:p>
            <w:pPr>
              <w:spacing w:line="320" w:lineRule="exact"/>
              <w:jc w:val="center"/>
              <w:rPr>
                <w:rFonts w:hint="default" w:ascii="Times New Roman" w:hAnsi="Times New Roman" w:eastAsia="方正仿宋简体" w:cs="Times New Roman"/>
                <w:b/>
                <w:kern w:val="0"/>
                <w:sz w:val="24"/>
              </w:rPr>
            </w:pPr>
          </w:p>
        </w:tc>
      </w:tr>
    </w:tbl>
    <w:p>
      <w:pPr>
        <w:pStyle w:val="2"/>
        <w:rPr>
          <w:rFonts w:hint="default" w:ascii="Times New Roman" w:hAnsi="Times New Roman" w:cs="Times New Roman"/>
          <w:lang w:val="en-US"/>
        </w:rPr>
        <w:sectPr>
          <w:pgSz w:w="11906" w:h="16838"/>
          <w:pgMar w:top="1701" w:right="1418" w:bottom="1418" w:left="1418" w:header="851" w:footer="794" w:gutter="0"/>
          <w:cols w:space="720" w:num="1"/>
          <w:docGrid w:linePitch="597" w:charSpace="1723"/>
        </w:sectPr>
      </w:pPr>
    </w:p>
    <w:p>
      <w:pPr>
        <w:pStyle w:val="2"/>
        <w:rPr>
          <w:rFonts w:hint="default" w:ascii="Times New Roman" w:hAnsi="Times New Roman" w:eastAsia="方正黑体简体" w:cs="Times New Roman"/>
        </w:rPr>
      </w:pPr>
      <w:r>
        <w:rPr>
          <w:rFonts w:hint="default" w:ascii="Times New Roman" w:hAnsi="Times New Roman" w:eastAsia="方正黑体简体" w:cs="Times New Roman"/>
        </w:rPr>
        <w:t>附件3</w:t>
      </w:r>
    </w:p>
    <w:p>
      <w:pPr>
        <w:pStyle w:val="2"/>
        <w:spacing w:line="300" w:lineRule="exact"/>
        <w:rPr>
          <w:rFonts w:hint="default" w:ascii="Times New Roman" w:hAnsi="Times New Roman" w:eastAsia="方正黑体简体" w:cs="Times New Roma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color w:val="auto"/>
          <w:sz w:val="36"/>
          <w:szCs w:val="36"/>
        </w:rPr>
      </w:pPr>
      <w:r>
        <w:rPr>
          <w:rFonts w:hint="default" w:ascii="Times New Roman" w:hAnsi="Times New Roman" w:eastAsia="方正小标宋简体" w:cs="Times New Roman"/>
          <w:b/>
          <w:bCs/>
          <w:color w:val="auto"/>
          <w:sz w:val="36"/>
          <w:szCs w:val="36"/>
        </w:rPr>
        <w:t>南充市广播电视台</w:t>
      </w:r>
      <w:r>
        <w:rPr>
          <w:rFonts w:hint="default" w:ascii="Times New Roman" w:hAnsi="Times New Roman" w:eastAsia="方正小标宋简体" w:cs="Times New Roman"/>
          <w:b/>
          <w:color w:val="auto"/>
          <w:sz w:val="36"/>
          <w:szCs w:val="36"/>
        </w:rPr>
        <w:t>“嘉陵江英才工程”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color w:val="auto"/>
          <w:sz w:val="36"/>
          <w:szCs w:val="36"/>
        </w:rPr>
      </w:pPr>
      <w:r>
        <w:rPr>
          <w:rFonts w:hint="default" w:ascii="Times New Roman" w:hAnsi="Times New Roman" w:eastAsia="方正小标宋简体" w:cs="Times New Roman"/>
          <w:b/>
          <w:color w:val="auto"/>
          <w:sz w:val="36"/>
          <w:szCs w:val="36"/>
        </w:rPr>
        <w:t>2022年度</w:t>
      </w:r>
      <w:r>
        <w:rPr>
          <w:rFonts w:hint="default" w:ascii="Times New Roman" w:hAnsi="Times New Roman" w:eastAsia="方正小标宋简体" w:cs="Times New Roman"/>
          <w:b/>
          <w:color w:val="auto"/>
          <w:sz w:val="36"/>
          <w:szCs w:val="36"/>
          <w:lang w:eastAsia="zh-CN"/>
        </w:rPr>
        <w:t>引进高层次人才</w:t>
      </w:r>
      <w:r>
        <w:rPr>
          <w:rFonts w:hint="default" w:ascii="Times New Roman" w:hAnsi="Times New Roman" w:eastAsia="方正小标宋简体" w:cs="Times New Roman"/>
          <w:b/>
          <w:color w:val="auto"/>
          <w:sz w:val="36"/>
          <w:szCs w:val="36"/>
        </w:rPr>
        <w:t>考核招聘新冠肺炎疫情防控告知暨承诺书</w:t>
      </w:r>
    </w:p>
    <w:p>
      <w:pPr>
        <w:pStyle w:val="3"/>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一、请广大考生务必做好自我健康管理，通过微信小程序“国家政务服务平台”及“四川天府健康通”申领本人防疫健康码，并于考前15天起持续关注健康码状态。</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二、考生赴考时如乘坐公共交通工具，需要全程规范佩戴口罩，保持安全社交距离，做好手部卫生。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三、为避免影响考试，来自国（境）外地区的考生，考前应至少提前22天入境，按照疫情防控有关规定，接受相应隔离观察、健康管理和核酸检测。</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四、每场考试前，考生应至少提前1小时到达考点。在考点入场检测处，请考生提前准备好当天本人防疫健康码（绿码）和通信大数据行程卡（绿码）、纸质准考证、有效身份证件以及核酸检测阴性报告证明（纸质、电子版均可，下同），并配合工作人员做好入场扫码和体温检测准备。</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五、所有考生需持本人资格审查和考核前24小时内有资质的检测服务机构</w:t>
      </w:r>
      <w:bookmarkStart w:id="0" w:name="_GoBack"/>
      <w:bookmarkEnd w:id="0"/>
      <w:r>
        <w:rPr>
          <w:rFonts w:hint="default" w:ascii="Times New Roman" w:hAnsi="Times New Roman" w:eastAsia="方正仿宋简体" w:cs="Times New Roman"/>
          <w:b/>
          <w:bCs/>
          <w:color w:val="auto"/>
          <w:sz w:val="24"/>
          <w:szCs w:val="24"/>
          <w:lang w:val="en-US" w:eastAsia="zh-CN"/>
        </w:rPr>
        <w:t>核酸检测阴性报告证明，方可入场参加资格审查和考核。核酸检测报告时间以检测时间为准，非采样时间或报告打印时间。请考生提前做好采样准备，经查验检测结果、结果出具时间等不符合规定的考生，不得入场参加资格审查和考核。</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六、经现场测量体温正常（＜37.3℃）且无咳嗽等呼吸道异常症状者方可进入考点；经现场确认有体温异常或呼吸道异常症状者，不再参加此次考核，应配合到定点收治医院发热门诊就诊。</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七、有以下情况之一者，不得参加本次考核：</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（1）健康码为“红码”、“黄码”，或行程卡为“红码”、“黄码”、带星号风险未排除的考生；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（2）经现场确认有体温异常（≥37.3℃）或呼吸道异常症状的考生；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（3）考核前21天内有国（境）外旅居史，尚未完成隔离医学观察等健康管理的考生；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（4）新冠肺炎确诊病例、疑似病例和无症状感染者及其密切接触者或次密接者，尚未完成隔离医学观察等健康管理的考生；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（5）按四川省防疫要求公告的有A、B类地区旅居史，正在实施集中隔离、居家隔离及居家健康监测的考生；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（6）考核当天，未按要求提供相应核酸检测阴性证明及其他有关证明的考生。</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八、考生如因有相关旅居史、密切接触史等流行病学史被集中隔离或居家隔离，考核当天无法到达考点的，视为主动放弃考核资格。仍处于新冠肺炎治疗期或出院观察期，以及其他个人原因无法参加考核的考生，视为主动放弃考核资格。</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九、请考生注意个人防护，自备一次性医用口罩，除核验身份时按要求临时摘除口罩外，进出考点、参加考试应当全程佩戴口罩。</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十、考核期间，考生要自觉遵守考场秩序，保持1米以上安全距离，服从现场工作人员安排，考核结束后按规定有序离场。考生在纸笔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val="en-US" w:eastAsia="zh-CN"/>
        </w:rPr>
        <w:t>十一、其他疫情防控要求，按考点所在城市疫情防控部门规定执行。考核疫情防控相关规定将根据国家和我省疫情防控的总体部署和最新要求进行动态调整。请考生持续做好自我健康管理，并随时关注“四川疾控”微信公众号发布的重点地区（A、B类地区）具体名单及相应管控措施，以及考点所在城市最新防疫要求，并严格按相关规定执行。</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lang w:eastAsia="zh-CN"/>
        </w:rPr>
        <w:t>十二</w:t>
      </w:r>
      <w:r>
        <w:rPr>
          <w:rFonts w:hint="default" w:ascii="Times New Roman" w:hAnsi="Times New Roman" w:eastAsia="方正仿宋简体" w:cs="Times New Roman"/>
          <w:b/>
          <w:bCs/>
          <w:color w:val="auto"/>
          <w:sz w:val="24"/>
          <w:szCs w:val="24"/>
        </w:rPr>
        <w:t>、考生在领取</w:t>
      </w:r>
      <w:r>
        <w:rPr>
          <w:rFonts w:hint="default" w:ascii="Times New Roman" w:hAnsi="Times New Roman" w:eastAsia="方正仿宋简体" w:cs="Times New Roman"/>
          <w:b/>
          <w:bCs/>
          <w:color w:val="auto"/>
          <w:sz w:val="24"/>
          <w:szCs w:val="24"/>
          <w:lang w:eastAsia="zh-CN"/>
        </w:rPr>
        <w:t>《笔试准考证》或《</w:t>
      </w:r>
      <w:r>
        <w:rPr>
          <w:rFonts w:hint="default" w:ascii="Times New Roman" w:hAnsi="Times New Roman" w:eastAsia="方正仿宋简体" w:cs="Times New Roman"/>
          <w:b/>
          <w:bCs/>
          <w:color w:val="auto"/>
          <w:sz w:val="24"/>
          <w:szCs w:val="24"/>
        </w:rPr>
        <w:t>面试通知书</w:t>
      </w:r>
      <w:r>
        <w:rPr>
          <w:rFonts w:hint="default" w:ascii="Times New Roman" w:hAnsi="Times New Roman" w:eastAsia="方正仿宋简体" w:cs="Times New Roman"/>
          <w:b/>
          <w:bCs/>
          <w:color w:val="auto"/>
          <w:sz w:val="24"/>
          <w:szCs w:val="24"/>
          <w:lang w:eastAsia="zh-CN"/>
        </w:rPr>
        <w:t>》</w:t>
      </w:r>
      <w:r>
        <w:rPr>
          <w:rFonts w:hint="default" w:ascii="Times New Roman" w:hAnsi="Times New Roman" w:eastAsia="方正仿宋简体" w:cs="Times New Roman"/>
          <w:b/>
          <w:bCs/>
          <w:color w:val="auto"/>
          <w:sz w:val="24"/>
          <w:szCs w:val="24"/>
        </w:rPr>
        <w:t>前须签署《南充市广播电视台“嘉陵江英才工程”2022年度</w:t>
      </w:r>
      <w:r>
        <w:rPr>
          <w:rFonts w:hint="default" w:ascii="Times New Roman" w:hAnsi="Times New Roman" w:eastAsia="方正仿宋简体" w:cs="Times New Roman"/>
          <w:b/>
          <w:bCs/>
          <w:color w:val="auto"/>
          <w:sz w:val="24"/>
          <w:szCs w:val="24"/>
          <w:lang w:eastAsia="zh-CN"/>
        </w:rPr>
        <w:t>引进高层次人才</w:t>
      </w:r>
      <w:r>
        <w:rPr>
          <w:rFonts w:hint="default" w:ascii="Times New Roman" w:hAnsi="Times New Roman" w:eastAsia="方正仿宋简体" w:cs="Times New Roman"/>
          <w:b/>
          <w:bCs/>
          <w:color w:val="auto"/>
          <w:sz w:val="24"/>
          <w:szCs w:val="24"/>
        </w:rPr>
        <w:t>考核招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rPr>
        <w:t xml:space="preserve">                                               </w:t>
      </w:r>
      <w:r>
        <w:rPr>
          <w:rFonts w:hint="eastAsia" w:ascii="Times New Roman" w:hAnsi="Times New Roman" w:eastAsia="方正仿宋简体" w:cs="Times New Roman"/>
          <w:b/>
          <w:bCs/>
          <w:color w:val="auto"/>
          <w:sz w:val="24"/>
          <w:szCs w:val="24"/>
          <w:lang w:val="en-US" w:eastAsia="zh-CN"/>
        </w:rPr>
        <w:t xml:space="preserve">         </w:t>
      </w:r>
      <w:r>
        <w:rPr>
          <w:rFonts w:hint="default" w:ascii="Times New Roman" w:hAnsi="Times New Roman" w:eastAsia="方正仿宋简体" w:cs="Times New Roman"/>
          <w:b/>
          <w:bCs/>
          <w:color w:val="auto"/>
          <w:sz w:val="24"/>
          <w:szCs w:val="24"/>
        </w:rPr>
        <w:t xml:space="preserve"> 南充市广播电视台                                                   </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default" w:ascii="Times New Roman" w:hAnsi="Times New Roman" w:eastAsia="方正仿宋简体" w:cs="Times New Roman"/>
          <w:b/>
          <w:bCs/>
          <w:color w:val="auto"/>
          <w:sz w:val="24"/>
          <w:szCs w:val="24"/>
        </w:rPr>
      </w:pPr>
      <w:r>
        <w:rPr>
          <w:rFonts w:hint="eastAsia" w:ascii="Times New Roman" w:hAnsi="Times New Roman" w:eastAsia="方正仿宋简体" w:cs="Times New Roman"/>
          <w:b/>
          <w:bCs/>
          <w:color w:val="auto"/>
          <w:sz w:val="24"/>
          <w:szCs w:val="24"/>
          <w:lang w:val="en-US" w:eastAsia="zh-CN"/>
        </w:rPr>
        <w:t xml:space="preserve">                                                         </w:t>
      </w:r>
      <w:r>
        <w:rPr>
          <w:rFonts w:hint="default" w:ascii="Times New Roman" w:hAnsi="Times New Roman" w:eastAsia="方正仿宋简体" w:cs="Times New Roman"/>
          <w:b/>
          <w:bCs/>
          <w:color w:val="auto"/>
          <w:sz w:val="24"/>
          <w:szCs w:val="24"/>
        </w:rPr>
        <w:t>2022年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1" w:firstLineChars="200"/>
        <w:textAlignment w:val="auto"/>
        <w:rPr>
          <w:rFonts w:hint="default" w:ascii="Times New Roman" w:hAnsi="Times New Roman" w:eastAsia="方正仿宋简体" w:cs="Times New Roman"/>
          <w:b/>
          <w:bCs/>
          <w:color w:val="auto"/>
          <w:sz w:val="24"/>
          <w:szCs w:val="24"/>
        </w:rPr>
      </w:pPr>
      <w:r>
        <w:rPr>
          <w:rFonts w:hint="default" w:ascii="Times New Roman" w:hAnsi="Times New Roman" w:eastAsia="方正仿宋简体" w:cs="Times New Roman"/>
          <w:b/>
          <w:bCs/>
          <w:color w:val="auto"/>
          <w:sz w:val="24"/>
          <w:szCs w:val="24"/>
        </w:rPr>
        <w:t>本人已认真阅读《南充市广播电视台“嘉陵江英才工程”2022年度</w:t>
      </w:r>
      <w:r>
        <w:rPr>
          <w:rFonts w:hint="default" w:ascii="Times New Roman" w:hAnsi="Times New Roman" w:eastAsia="方正仿宋简体" w:cs="Times New Roman"/>
          <w:b/>
          <w:bCs/>
          <w:color w:val="auto"/>
          <w:sz w:val="24"/>
          <w:szCs w:val="24"/>
          <w:lang w:eastAsia="zh-CN"/>
        </w:rPr>
        <w:t>引进高层次人才</w:t>
      </w:r>
      <w:r>
        <w:rPr>
          <w:rFonts w:hint="default" w:ascii="Times New Roman" w:hAnsi="Times New Roman" w:eastAsia="方正仿宋简体" w:cs="Times New Roman"/>
          <w:b/>
          <w:bCs/>
          <w:color w:val="auto"/>
          <w:sz w:val="24"/>
          <w:szCs w:val="24"/>
        </w:rPr>
        <w:t>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pacing w:line="360" w:lineRule="exact"/>
        <w:ind w:firstLine="481" w:firstLineChars="200"/>
        <w:textAlignment w:val="auto"/>
        <w:rPr>
          <w:rFonts w:hint="default" w:ascii="Times New Roman" w:hAnsi="Times New Roman" w:eastAsia="方正仿宋简体" w:cs="Times New Roman"/>
          <w:b/>
          <w:bCs/>
          <w:color w:val="auto"/>
          <w:sz w:val="24"/>
          <w:szCs w:val="24"/>
        </w:rPr>
      </w:pPr>
    </w:p>
    <w:p>
      <w:pPr>
        <w:pStyle w:val="2"/>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方正仿宋简体" w:cs="Times New Roman"/>
          <w:color w:val="auto"/>
          <w:sz w:val="24"/>
          <w:szCs w:val="24"/>
          <w:lang w:val="en-US"/>
        </w:rPr>
      </w:pPr>
      <w:r>
        <w:rPr>
          <w:rFonts w:hint="default" w:ascii="Times New Roman" w:hAnsi="Times New Roman" w:eastAsia="方正仿宋简体" w:cs="Times New Roman"/>
          <w:color w:val="auto"/>
          <w:sz w:val="24"/>
          <w:szCs w:val="24"/>
          <w:lang w:val="en-US"/>
        </w:rPr>
        <w:t xml:space="preserve">                                               承诺人（签字）：</w:t>
      </w:r>
    </w:p>
    <w:p>
      <w:pPr>
        <w:pStyle w:val="2"/>
        <w:keepNext w:val="0"/>
        <w:keepLines w:val="0"/>
        <w:pageBreakBefore w:val="0"/>
        <w:widowControl w:val="0"/>
        <w:kinsoku/>
        <w:wordWrap/>
        <w:overflowPunct/>
        <w:topLinePunct w:val="0"/>
        <w:autoSpaceDE/>
        <w:autoSpaceDN/>
        <w:bidi w:val="0"/>
        <w:adjustRightInd/>
        <w:spacing w:line="360" w:lineRule="exact"/>
        <w:ind w:left="5250"/>
        <w:textAlignment w:val="auto"/>
        <w:rPr>
          <w:rFonts w:hint="default" w:ascii="Times New Roman" w:hAnsi="Times New Roman" w:cs="Times New Roman"/>
          <w:color w:val="auto"/>
        </w:rPr>
      </w:pPr>
      <w:r>
        <w:rPr>
          <w:rFonts w:hint="default" w:ascii="Times New Roman" w:hAnsi="Times New Roman" w:eastAsia="方正仿宋简体" w:cs="Times New Roman"/>
          <w:color w:val="auto"/>
          <w:sz w:val="24"/>
          <w:szCs w:val="24"/>
          <w:lang w:val="en-US"/>
        </w:rPr>
        <w:t xml:space="preserve">           2022年    月    日</w:t>
      </w:r>
    </w:p>
    <w:sectPr>
      <w:pgSz w:w="11906" w:h="16838"/>
      <w:pgMar w:top="2098" w:right="1531" w:bottom="1985" w:left="1531" w:header="851" w:footer="1588"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简体">
    <w:altName w:val="方正黑体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OGNmNzk0NjQxNDI2YWMyY2U0ZWVlNGM0ZWRhZWUifQ=="/>
  </w:docVars>
  <w:rsids>
    <w:rsidRoot w:val="7EFF6DDD"/>
    <w:rsid w:val="5BFE0D2E"/>
    <w:rsid w:val="60DB6478"/>
    <w:rsid w:val="7EFF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微软雅黑" w:hAnsi="微软雅黑" w:eastAsia="微软雅黑" w:cs="微软雅黑"/>
      <w:b/>
      <w:bCs/>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2351</Words>
  <Characters>2495</Characters>
  <Lines>0</Lines>
  <Paragraphs>0</Paragraphs>
  <TotalTime>9</TotalTime>
  <ScaleCrop>false</ScaleCrop>
  <LinksUpToDate>false</LinksUpToDate>
  <CharactersWithSpaces>2725</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2022-05-17T18:30:00Z</dcterms:created>
  <dc:creator>user</dc:creator>
  <cp:lastModifiedBy>user</cp:lastModifiedBy>
  <dcterms:modified xsi:type="dcterms:W3CDTF">2022-05-17T17:47:53Z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5AF438B3690840CBAB73158C179619F9</vt:lpwstr>
  </property>
</Properties>
</file>