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附件1</w:t>
      </w:r>
    </w:p>
    <w:tbl>
      <w:tblPr>
        <w:tblStyle w:val="9"/>
        <w:tblW w:w="145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747"/>
        <w:gridCol w:w="992"/>
        <w:gridCol w:w="4353"/>
        <w:gridCol w:w="1842"/>
        <w:gridCol w:w="1315"/>
        <w:gridCol w:w="2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  <w:jc w:val="center"/>
        </w:trPr>
        <w:tc>
          <w:tcPr>
            <w:tcW w:w="145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40"/>
              </w:rPr>
              <w:t>湖南省药品检验检测研究院2022年公开招聘第三批编外工作人员计划及要求一览表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序号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拟聘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人数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所需专业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年龄要求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药品化妆品理化检验及研究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药物分析学、药学硕士、应用化学、分析化学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研究生及以上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生物制品检验检测及研究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生物化学与分子生物学、微生物学、预防兽医学、临床检验诊断学、药理学、药物分析学、药物化学、药学</w:t>
            </w: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硕士</w:t>
            </w:r>
            <w:r>
              <w:rPr>
                <w:rFonts w:hint="eastAsia" w:cs="仿宋" w:asciiTheme="minorEastAsia" w:hAnsiTheme="minorEastAsia"/>
                <w:kern w:val="0"/>
              </w:rPr>
              <w:t>、分析化学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中药检验检测及研究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中药学硕士、生药学、中草药资源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业务综合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药学</w:t>
            </w:r>
            <w:r>
              <w:rPr>
                <w:rFonts w:cs="仿宋" w:asciiTheme="minorEastAsia" w:hAnsiTheme="minorEastAsia"/>
                <w:kern w:val="0"/>
              </w:rPr>
              <w:t>类、新闻传播学类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药用辅料检验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</w:rPr>
              <w:t>药物制剂</w:t>
            </w: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、药物分析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本科及以上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25岁以下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药品医疗器械化妆品</w:t>
            </w:r>
          </w:p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检测</w:t>
            </w:r>
            <w:r>
              <w:rPr>
                <w:rFonts w:hint="eastAsia" w:cs="仿宋" w:asciiTheme="minorEastAsia" w:hAnsiTheme="minorEastAsia"/>
                <w:kern w:val="0"/>
              </w:rPr>
              <w:t>辅助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</w:rPr>
              <w:t>药学类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大专及以上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25岁以下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1年以上药品、医疗器械、化妆品检验机构工作经历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9</w:t>
            </w:r>
          </w:p>
        </w:tc>
        <w:tc>
          <w:tcPr>
            <w:tcW w:w="4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</w:tr>
    </w:tbl>
    <w:p>
      <w:pPr>
        <w:rPr>
          <w:rFonts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lang w:bidi="ar"/>
        </w:rPr>
        <w:t>注：1、年龄要求3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0</w:t>
      </w:r>
      <w:r>
        <w:rPr>
          <w:rFonts w:ascii="Times New Roman" w:hAnsi="Times New Roman" w:eastAsia="仿宋_GB2312"/>
          <w:color w:val="000000"/>
          <w:kern w:val="0"/>
          <w:lang w:bidi="ar"/>
        </w:rPr>
        <w:t>岁以下是指19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92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年1月1日以后出生，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25</w:t>
      </w:r>
      <w:r>
        <w:rPr>
          <w:rFonts w:ascii="Times New Roman" w:hAnsi="Times New Roman" w:eastAsia="仿宋_GB2312"/>
          <w:color w:val="000000"/>
          <w:kern w:val="0"/>
          <w:lang w:bidi="ar"/>
        </w:rPr>
        <w:t>岁以下是指199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7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年1月1日以后出生。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</w:t>
      </w:r>
      <w:r>
        <w:rPr>
          <w:rFonts w:ascii="Times New Roman" w:hAnsi="Times New Roman" w:eastAsia="仿宋_GB2312"/>
          <w:color w:val="000000"/>
          <w:kern w:val="0"/>
          <w:lang w:bidi="ar"/>
        </w:rPr>
        <w:t>、“以上”“以下”含本级、本数。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D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37A6A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3170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83C"/>
    <w:rsid w:val="00317050"/>
    <w:rsid w:val="00334A5F"/>
    <w:rsid w:val="00337FF0"/>
    <w:rsid w:val="00344927"/>
    <w:rsid w:val="003461DF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97F9F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75B66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4E1"/>
    <w:rsid w:val="006D76AB"/>
    <w:rsid w:val="006E3837"/>
    <w:rsid w:val="006F001A"/>
    <w:rsid w:val="006F57BD"/>
    <w:rsid w:val="00700D87"/>
    <w:rsid w:val="007064DB"/>
    <w:rsid w:val="00711E09"/>
    <w:rsid w:val="00714C84"/>
    <w:rsid w:val="00720636"/>
    <w:rsid w:val="0072222C"/>
    <w:rsid w:val="007320B0"/>
    <w:rsid w:val="0073324D"/>
    <w:rsid w:val="00746BD6"/>
    <w:rsid w:val="00761691"/>
    <w:rsid w:val="00763C90"/>
    <w:rsid w:val="00766D45"/>
    <w:rsid w:val="00772010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164DE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005D"/>
    <w:rsid w:val="00A8358C"/>
    <w:rsid w:val="00A87F36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67CA5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9692C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522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widowControl/>
      <w:spacing w:line="280" w:lineRule="exact"/>
      <w:ind w:left="810" w:leftChars="1" w:hanging="808" w:hangingChars="385"/>
      <w:jc w:val="left"/>
    </w:pPr>
    <w:rPr>
      <w:rFonts w:ascii="宋体" w:hAnsi="宋体" w:eastAsia="宋体" w:cs="Times New Roman"/>
      <w:szCs w:val="21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ys-main-zt-aa"/>
    <w:basedOn w:val="7"/>
    <w:uiPriority w:val="0"/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3"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3B0FF-F771-4609-B6A5-AAF74A32A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554</Words>
  <Characters>3160</Characters>
  <Lines>26</Lines>
  <Paragraphs>7</Paragraphs>
  <TotalTime>26</TotalTime>
  <ScaleCrop>false</ScaleCrop>
  <LinksUpToDate>false</LinksUpToDate>
  <CharactersWithSpaces>3707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2022-04-24T08:08:00Z</dcterms:created>
  <dc:creator>王燕</dc:creator>
  <cp:lastModifiedBy>Administrator</cp:lastModifiedBy>
  <dcterms:modified xsi:type="dcterms:W3CDTF">2022-04-29T04:13:57Z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