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Times New Roman"/>
          <w:b/>
          <w:bCs/>
          <w:kern w:val="0"/>
          <w:sz w:val="36"/>
          <w:szCs w:val="36"/>
        </w:rPr>
        <w:t>中国农业科学院国家南繁研究院20</w:t>
      </w: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22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年人员招聘计划统计表（第二批）</w:t>
      </w:r>
    </w:p>
    <w:tbl>
      <w:tblPr>
        <w:tblStyle w:val="7"/>
        <w:tblW w:w="14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86"/>
        <w:gridCol w:w="1395"/>
        <w:gridCol w:w="1993"/>
        <w:gridCol w:w="1198"/>
        <w:gridCol w:w="1941"/>
        <w:gridCol w:w="1241"/>
        <w:gridCol w:w="2114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222" w:type="dxa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2" w:type="dxa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学位学历要求</w:t>
            </w:r>
          </w:p>
        </w:tc>
        <w:tc>
          <w:tcPr>
            <w:tcW w:w="2169" w:type="dxa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247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  <w:vMerge w:val="restart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基因编辑创新利用团队</w:t>
            </w: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GKZP01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负责开展植物遗传转化及材料鉴定工作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5-8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农学相关专业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有植物组织培养工作经历的优先</w:t>
            </w:r>
          </w:p>
        </w:tc>
        <w:tc>
          <w:tcPr>
            <w:tcW w:w="2476" w:type="dxa"/>
            <w:vMerge w:val="restart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刘老师：18876926408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邮箱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：liuji@caas.cn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GKZP02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协助挖掘基因编辑模块及多组学数据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分析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2-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生物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信息学、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计算机科学与技术等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具有丰富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的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基因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组学、转录组学、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代谢组学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等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生物学大数据处理经验的优先</w:t>
            </w:r>
          </w:p>
        </w:tc>
        <w:tc>
          <w:tcPr>
            <w:tcW w:w="2476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GKZP03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协助进行基因编辑工具的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优化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及功能验证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3-5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分子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生物学、生物化学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等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具有扎实的分子生物学和生物化学基础的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优先</w:t>
            </w:r>
          </w:p>
        </w:tc>
        <w:tc>
          <w:tcPr>
            <w:tcW w:w="2476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作物表型组学研究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创新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团队</w:t>
            </w: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GKZP04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负责协助团队开展科研相关报销、实验室学生管理和资料管理、田间试验数据的分析与处理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1-2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农学、遥感科学与技术、农业信息技术等相关专业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应届毕业生，中共党员，符合崖州湾科技城E类及以上人才分类标准优先</w:t>
            </w:r>
          </w:p>
        </w:tc>
        <w:tc>
          <w:tcPr>
            <w:tcW w:w="2476" w:type="dxa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金老师：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15611669703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jinxiuliang@caas.cn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数字化南繁技术创新团队</w:t>
            </w: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GKZP05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从事大田作物表型信息数字化智能化管理系统研发等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3-5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计算机科学与技术，信息与通信工程，电子科学与技术，电气工程，控制科学与工程，农业工程，机械工程，农学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476" w:type="dxa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张老师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15210949717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zhangjianhua@caas.cn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作物精准育种技术创新团队</w:t>
            </w: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GKZP06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负责团队日常事务、植物组织培养、遗传转化、材料种植、田间管理及农艺性状鉴定等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3-4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农学、作物学、生物学、计算机科学与技术、管理学、化学等相关专业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有组织培养、农作物种植管理和农艺性状鉴定等工作经历者优先</w:t>
            </w:r>
          </w:p>
        </w:tc>
        <w:tc>
          <w:tcPr>
            <w:tcW w:w="2476" w:type="dxa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和老师：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18571805402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heyubing@caas.cn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大数据智能设计育种创新团队</w:t>
            </w: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GKZP07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负责智能育种平台搭建维护和作物全基因组选择预测模型构建等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计算机科学与技术，生物学，生物信息学，数理统计，生物统计，农学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具有机器学习专业特长者优先</w:t>
            </w:r>
          </w:p>
        </w:tc>
        <w:tc>
          <w:tcPr>
            <w:tcW w:w="2476" w:type="dxa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李老师：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010-82106038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lihuihui@caas.cn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南繁种子品质鉴定与分子改良创新团队</w:t>
            </w: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GKZP08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从事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南繁农作物种子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高通量分子检测技术体系研究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1-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农学或生物学相关专业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有分子检测技术研究基础者优先</w:t>
            </w:r>
          </w:p>
        </w:tc>
        <w:tc>
          <w:tcPr>
            <w:tcW w:w="2476" w:type="dxa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匡老师：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15836313471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kuangmeng007@163.com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  <w:vMerge w:val="restart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vMerge w:val="restart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野生作物种质资源保护与利用创新团队</w:t>
            </w: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GKZP09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负责课题组数据整理和计算流程开发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生物信息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476" w:type="dxa"/>
            <w:vMerge w:val="restart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郑老师：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13241020097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邮箱：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zhengxiaoming@caas.cn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GKZP10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负责异位保存设备维护，技术开发和专利以及标准申请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476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GKZP11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从事野生植物资源抗病鉴定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植物保护/植物病理学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476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GKZP12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从事野生植物资源抗虫鉴定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植物保护/植物病理学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476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9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GKZP13</w:t>
            </w:r>
          </w:p>
        </w:tc>
        <w:tc>
          <w:tcPr>
            <w:tcW w:w="2043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从事野生植物资源非生物抗性鉴定</w:t>
            </w:r>
          </w:p>
        </w:tc>
        <w:tc>
          <w:tcPr>
            <w:tcW w:w="122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作物学/作物栽培学与耕作学</w:t>
            </w:r>
          </w:p>
        </w:tc>
        <w:tc>
          <w:tcPr>
            <w:tcW w:w="1272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169" w:type="dxa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476" w:type="dxa"/>
            <w:vMerge w:val="continue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outlineLvl w:val="1"/>
        <w:rPr>
          <w:rFonts w:ascii="宋体" w:cs="Times New Roman"/>
          <w:b/>
          <w:bCs/>
          <w:kern w:val="0"/>
          <w:sz w:val="40"/>
          <w:szCs w:val="40"/>
        </w:rPr>
      </w:pPr>
    </w:p>
    <w:sectPr>
      <w:type w:val="continuous"/>
      <w:pgSz w:w="16838" w:h="11906" w:orient="landscape"/>
      <w:pgMar w:top="851" w:right="1134" w:bottom="851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D1"/>
    <w:rsid w:val="001A4575"/>
    <w:rsid w:val="001F2C0F"/>
    <w:rsid w:val="002A7404"/>
    <w:rsid w:val="0033152E"/>
    <w:rsid w:val="003C1D42"/>
    <w:rsid w:val="00427B4D"/>
    <w:rsid w:val="004537FE"/>
    <w:rsid w:val="00580E87"/>
    <w:rsid w:val="005A6FD4"/>
    <w:rsid w:val="005C6332"/>
    <w:rsid w:val="005E0395"/>
    <w:rsid w:val="00602287"/>
    <w:rsid w:val="00726474"/>
    <w:rsid w:val="007A0C39"/>
    <w:rsid w:val="007B13B8"/>
    <w:rsid w:val="007C2120"/>
    <w:rsid w:val="007E312A"/>
    <w:rsid w:val="007E3C87"/>
    <w:rsid w:val="00942FDB"/>
    <w:rsid w:val="00951693"/>
    <w:rsid w:val="00A01A41"/>
    <w:rsid w:val="00A30162"/>
    <w:rsid w:val="00AB7550"/>
    <w:rsid w:val="00AE2982"/>
    <w:rsid w:val="00B11B49"/>
    <w:rsid w:val="00B13E9D"/>
    <w:rsid w:val="00B159D7"/>
    <w:rsid w:val="00BB3B0A"/>
    <w:rsid w:val="00BF62EE"/>
    <w:rsid w:val="00C03AD0"/>
    <w:rsid w:val="00C6725E"/>
    <w:rsid w:val="00CA0FA0"/>
    <w:rsid w:val="00CB4491"/>
    <w:rsid w:val="00CD2AD3"/>
    <w:rsid w:val="00CE26B4"/>
    <w:rsid w:val="00D04CAF"/>
    <w:rsid w:val="00D126B5"/>
    <w:rsid w:val="00D96DD1"/>
    <w:rsid w:val="00E61DDC"/>
    <w:rsid w:val="00F53C57"/>
    <w:rsid w:val="00F76C08"/>
    <w:rsid w:val="00FA6F12"/>
    <w:rsid w:val="27586C9F"/>
    <w:rsid w:val="35EF5837"/>
    <w:rsid w:val="503600BB"/>
    <w:rsid w:val="662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标题 2 字符"/>
    <w:basedOn w:val="8"/>
    <w:link w:val="2"/>
    <w:qFormat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F18BEB-4331-4125-B038-3C9063B71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213</Words>
  <Characters>1219</Characters>
  <Lines>10</Lines>
  <Paragraphs>2</Paragraphs>
  <TotalTime>122</TotalTime>
  <ScaleCrop>false</ScaleCrop>
  <LinksUpToDate>false</LinksUpToDate>
  <CharactersWithSpaces>1430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2022-04-01T03:36:00Z</dcterms:created>
  <dc:creator>微软用户</dc:creator>
  <cp:lastModifiedBy>sasakiyoko</cp:lastModifiedBy>
  <dcterms:modified xsi:type="dcterms:W3CDTF">2022-04-07T11:03:40Z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c15feffe0307416d8c1ee1315d105098</vt:lpwstr>
  </property>
</Properties>
</file>