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成都金牛高新技术产业园区介绍</w:t>
      </w:r>
    </w:p>
    <w:bookmarkEnd w:id="0"/>
    <w:p>
      <w:pPr>
        <w:spacing w:line="570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成都金牛高新技术产业园区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是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全市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主城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区中唯一的省级高新技术产业园区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唯一的国家科技部火炬计划电子信息产业基地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规划建设面积7.66平方公里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在历届区委区政府的接续建设下，园区管委会大力实施产业建圈强链行动，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聚力发展轨道交通、北斗应用、生物医药、人工智能四大主导产业，持续做强军民融合、卫星互联网特色赛道和轨道交通、生物医药、新材料新能源优质赛道，推进都市工业高质量发展。园区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正精准构建产业图谱，凝聚优势产业，聚力打造特色产业集群，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已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初步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构建起“一区（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工业总部聚集区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即西区）引领、多园（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中铁产业园、北斗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+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产业园、人工智能产业园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和金牛-什邡合作飞地园区）支撑”的发展格局。园区先后荣获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省科技厅“优秀省级高新区”（综合评价排名第一）、省发改委“优秀省级开发区”称号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，成功创建省级院士（专家）产业园区。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产业特色鲜明。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/>
        </w:rPr>
        <w:t>轨道交通产业，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已聚集中铁二院、卡斯柯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交控科技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等企业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190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余家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形成轨道交通信号产业集群，正以新制式和磁悬浮为主攻方向，聚力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发展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轨道交通智能制造领域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/>
        </w:rPr>
        <w:t>北斗应用产业，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已聚集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省测绘局、天奥电子、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九洲北斗等企业1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余家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打造国家级军民融合北斗产业示范基地、北斗产业创新发展高地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/>
        </w:rPr>
        <w:t>生物医药产业，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以康弘集团、赛德特生物、航天长峰等企业为支撑，积极布局干细胞、精准医疗等高端环节，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打造高端数字健康工厂。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678B7"/>
    <w:rsid w:val="0FAA4066"/>
    <w:rsid w:val="15AE7C9F"/>
    <w:rsid w:val="18B4244E"/>
    <w:rsid w:val="256A2CB6"/>
    <w:rsid w:val="32207038"/>
    <w:rsid w:val="476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ind w:left="109"/>
      <w:jc w:val="both"/>
    </w:pPr>
    <w:rPr>
      <w:rFonts w:ascii="宋体" w:hAnsi="宋体" w:eastAsia="方正仿宋_GBK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2022-03-29T08:04:00Z</dcterms:created>
  <dc:creator>Lenovo</dc:creator>
  <cp:lastModifiedBy>Lenovo</cp:lastModifiedBy>
  <dcterms:modified xsi:type="dcterms:W3CDTF">2022-03-29T08:05:24Z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