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ind w:left="0"/>
        <w:rPr>
          <w:sz w:val="17"/>
        </w:rPr>
      </w:pPr>
      <w:bookmarkStart w:id="0" w:name="_GoBack"/>
      <w:bookmarkEnd w:id="0"/>
    </w:p>
    <w:p>
      <w:pPr>
        <w:spacing w:after="0"/>
        <w:rPr>
          <w:sz w:val="17"/>
        </w:rPr>
        <w:sectPr>
          <w:pgSz w:w="11910" w:h="16840"/>
          <w:pgMar w:top="1580" w:right="1380" w:bottom="280" w:left="1680" w:header="720" w:footer="720" w:gutter="0"/>
          <w:cols w:space="720" w:num="1"/>
        </w:sectPr>
      </w:pPr>
    </w:p>
    <w:p>
      <w:pPr>
        <w:pStyle w:val="2"/>
        <w:spacing w:before="65"/>
      </w:pPr>
      <w:r>
        <w:rPr>
          <w:spacing w:val="-27"/>
        </w:rPr>
        <w:t>附件</w:t>
      </w:r>
      <w:r>
        <w:rPr>
          <w:rFonts w:ascii="Times New Roman" w:eastAsia="Times New Roman"/>
          <w:spacing w:val="-5"/>
        </w:rPr>
        <w:t>1</w:t>
      </w:r>
      <w:r>
        <w:rPr>
          <w:spacing w:val="-5"/>
        </w:rPr>
        <w:t>：</w:t>
      </w:r>
    </w:p>
    <w:p>
      <w:pPr>
        <w:spacing w:before="1" w:line="240" w:lineRule="auto"/>
        <w:rPr>
          <w:sz w:val="42"/>
        </w:rPr>
      </w:pPr>
      <w:r>
        <w:br w:type="column"/>
      </w:r>
    </w:p>
    <w:p>
      <w:pPr>
        <w:spacing w:before="0" w:line="297" w:lineRule="auto"/>
        <w:ind w:left="313" w:right="2232" w:hanging="180"/>
        <w:jc w:val="left"/>
        <w:rPr>
          <w:rFonts w:ascii="PMingLiU" w:eastAsia="PMingLiU"/>
          <w:sz w:val="36"/>
        </w:rPr>
      </w:pPr>
      <w:r>
        <w:rPr>
          <w:rFonts w:ascii="PMingLiU" w:eastAsia="PMingLiU"/>
          <w:spacing w:val="-2"/>
          <w:sz w:val="36"/>
        </w:rPr>
        <w:t>水利部水利水电规划设计总院公开招聘工作人员单位简介</w:t>
      </w:r>
    </w:p>
    <w:p>
      <w:pPr>
        <w:spacing w:after="0" w:line="297" w:lineRule="auto"/>
        <w:jc w:val="left"/>
        <w:rPr>
          <w:rFonts w:ascii="PMingLiU" w:eastAsia="PMingLiU"/>
          <w:sz w:val="36"/>
        </w:rPr>
        <w:sectPr>
          <w:type w:val="continuous"/>
          <w:pgSz w:w="11910" w:h="16840"/>
          <w:pgMar w:top="1580" w:right="1380" w:bottom="280" w:left="1680" w:header="720" w:footer="720" w:gutter="0"/>
          <w:cols w:equalWidth="0" w:num="2">
            <w:col w:w="1374" w:space="424"/>
            <w:col w:w="7052"/>
          </w:cols>
        </w:sectPr>
      </w:pPr>
    </w:p>
    <w:p>
      <w:pPr>
        <w:pStyle w:val="2"/>
        <w:spacing w:before="85" w:line="328" w:lineRule="auto"/>
        <w:ind w:right="433" w:firstLine="645"/>
        <w:jc w:val="both"/>
      </w:pPr>
      <w:r>
        <w:rPr>
          <w:spacing w:val="-4"/>
        </w:rPr>
        <w:t>水利部水利水电规划设计总院（以下简称水规总院）是</w:t>
      </w:r>
      <w:r>
        <w:rPr>
          <w:spacing w:val="-2"/>
        </w:rPr>
        <w:t>水利部直属事业单位</w:t>
      </w:r>
      <w:r>
        <w:rPr>
          <w:spacing w:val="-2"/>
          <w:sz w:val="24"/>
        </w:rPr>
        <w:t>，</w:t>
      </w:r>
      <w:r>
        <w:rPr>
          <w:spacing w:val="-2"/>
        </w:rPr>
        <w:t>受部委托负责全国性综合及专业规划编制、水利工程建设项目规划审查和水利勘测设计行业管理</w:t>
      </w:r>
      <w:r>
        <w:rPr>
          <w:spacing w:val="-7"/>
        </w:rPr>
        <w:t>工作。历经</w:t>
      </w:r>
      <w:r>
        <w:rPr>
          <w:rFonts w:ascii="Times New Roman" w:eastAsia="Times New Roman"/>
        </w:rPr>
        <w:t>70</w:t>
      </w:r>
      <w:r>
        <w:t>年的发展历程，我院已经发展成为水利部核</w:t>
      </w:r>
      <w:r>
        <w:rPr>
          <w:spacing w:val="-2"/>
        </w:rPr>
        <w:t>心技术支撑单位，在国内外具有较高技术影响力和广泛认可度，是水利行业的权威技术机构与高端智库，能够持续为新时期水利高质量发展提供强有力的技术保障。</w:t>
      </w:r>
    </w:p>
    <w:p>
      <w:pPr>
        <w:pStyle w:val="2"/>
        <w:spacing w:line="328" w:lineRule="auto"/>
        <w:ind w:right="111" w:firstLine="640"/>
      </w:pPr>
      <w:r>
        <w:rPr>
          <w:spacing w:val="-17"/>
        </w:rPr>
        <w:t>人才队伍优势突出。技术专家学历高、素养好、专业全。</w:t>
      </w:r>
      <w:r>
        <w:rPr>
          <w:spacing w:val="-6"/>
        </w:rPr>
        <w:t>硕士以上学历占比</w:t>
      </w:r>
      <w:r>
        <w:rPr>
          <w:rFonts w:ascii="Times New Roman" w:hAnsi="Times New Roman" w:eastAsia="Times New Roman"/>
        </w:rPr>
        <w:t>57%</w:t>
      </w:r>
      <w:r>
        <w:rPr>
          <w:spacing w:val="-5"/>
        </w:rPr>
        <w:t>，副高级及以上职称占比</w:t>
      </w:r>
      <w:r>
        <w:rPr>
          <w:rFonts w:ascii="Times New Roman" w:hAnsi="Times New Roman" w:eastAsia="Times New Roman"/>
        </w:rPr>
        <w:t>80%</w:t>
      </w:r>
      <w:r>
        <w:t>，现有</w:t>
      </w:r>
      <w:r>
        <w:rPr>
          <w:spacing w:val="-2"/>
        </w:rPr>
        <w:t>全国工程勘察设计大师</w:t>
      </w:r>
      <w:r>
        <w:rPr>
          <w:rFonts w:ascii="Times New Roman" w:hAnsi="Times New Roman" w:eastAsia="Times New Roman"/>
        </w:rPr>
        <w:t>1</w:t>
      </w:r>
      <w:r>
        <w:t>名，全国杰出专业技术人才、新世</w:t>
      </w:r>
      <w:r>
        <w:rPr>
          <w:spacing w:val="-2"/>
        </w:rPr>
        <w:t>纪百千万人才、“万人计划”领军人才、“</w:t>
      </w:r>
      <w:r>
        <w:rPr>
          <w:rFonts w:ascii="Times New Roman" w:hAnsi="Times New Roman" w:eastAsia="Times New Roman"/>
          <w:spacing w:val="-2"/>
        </w:rPr>
        <w:t>5151</w:t>
      </w:r>
      <w:r>
        <w:rPr>
          <w:spacing w:val="-2"/>
        </w:rPr>
        <w:t>”人才等各</w:t>
      </w:r>
      <w:r>
        <w:rPr>
          <w:spacing w:val="8"/>
        </w:rPr>
        <w:t>类省部级以上人才数十名。专家业务领域涵盖规划、勘测、</w:t>
      </w:r>
      <w:r>
        <w:rPr>
          <w:spacing w:val="-2"/>
        </w:rPr>
        <w:t>水文、水资源、水工、施工、机电、金结、移民、生态、环保、水保、造价、经济评价、信息化和工程管理等专业，具备完整的业务生态系统。依托业务高素质、专业全链条的人才队伍特色，能够为各个服务对象提供全范围、一揽子的系统解决方案。</w:t>
      </w:r>
    </w:p>
    <w:p>
      <w:pPr>
        <w:pStyle w:val="2"/>
        <w:spacing w:line="393" w:lineRule="exact"/>
        <w:ind w:left="773"/>
      </w:pPr>
      <w:r>
        <w:rPr>
          <w:spacing w:val="-3"/>
        </w:rPr>
        <w:t>拥有海量资源数据。作为技术主持或参与单位，先后组</w:t>
      </w:r>
    </w:p>
    <w:p>
      <w:pPr>
        <w:pStyle w:val="2"/>
        <w:spacing w:before="138" w:line="328" w:lineRule="auto"/>
        <w:ind w:right="433"/>
      </w:pPr>
      <w:r>
        <w:rPr>
          <w:spacing w:val="-2"/>
        </w:rPr>
        <w:t>织了全国水利普查、水资源及其开发利用调查评价、全国主</w:t>
      </w:r>
      <w:r>
        <w:rPr>
          <w:spacing w:val="-3"/>
        </w:rPr>
        <w:t>要江河水生态状况调查评价、全国水资源承载能力预警评估</w:t>
      </w:r>
    </w:p>
    <w:p>
      <w:pPr>
        <w:spacing w:after="0" w:line="328" w:lineRule="auto"/>
        <w:sectPr>
          <w:type w:val="continuous"/>
          <w:pgSz w:w="11910" w:h="16840"/>
          <w:pgMar w:top="1580" w:right="1380" w:bottom="280" w:left="1680" w:header="720" w:footer="720" w:gutter="0"/>
          <w:cols w:space="720" w:num="1"/>
        </w:sectPr>
      </w:pPr>
    </w:p>
    <w:p>
      <w:pPr>
        <w:pStyle w:val="2"/>
        <w:spacing w:before="1"/>
        <w:ind w:left="0"/>
        <w:rPr>
          <w:sz w:val="18"/>
        </w:rPr>
      </w:pPr>
    </w:p>
    <w:p>
      <w:pPr>
        <w:pStyle w:val="2"/>
        <w:spacing w:before="55" w:line="328" w:lineRule="auto"/>
        <w:ind w:right="433"/>
        <w:jc w:val="both"/>
      </w:pPr>
      <w:r>
        <w:rPr>
          <w:spacing w:val="-2"/>
        </w:rPr>
        <w:t>等多项重大基础技术工作，承担了长江三峡水利枢纽、黄河小浪底水利枢纽、广西大藤峡水利枢纽、南水北调东中线一期工程等重大水利工程项目的审查和咨询。在长期开展技术论证、资源调查、技术审查等工作过程中，积累了各种规模类型的工程数据、全国范围的水资源基础数据等海量数据资源，对于未来服务于工程咨询、资源配置等工作，能够提供关键的大数据分析支持，是锻造水规总院“最强大脑”的数</w:t>
      </w:r>
      <w:r>
        <w:rPr>
          <w:spacing w:val="-4"/>
        </w:rPr>
        <w:t>据基础。</w:t>
      </w:r>
    </w:p>
    <w:p>
      <w:pPr>
        <w:pStyle w:val="2"/>
        <w:spacing w:line="396" w:lineRule="exact"/>
        <w:ind w:left="773"/>
      </w:pPr>
      <w:r>
        <w:rPr>
          <w:spacing w:val="-3"/>
        </w:rPr>
        <w:t>行业战略站位高。作为技术负责单位，先后编制了全国</w:t>
      </w:r>
    </w:p>
    <w:p>
      <w:pPr>
        <w:pStyle w:val="2"/>
        <w:spacing w:before="150" w:line="328" w:lineRule="auto"/>
        <w:ind w:right="231"/>
        <w:jc w:val="both"/>
      </w:pPr>
      <w:r>
        <w:rPr>
          <w:spacing w:val="-2"/>
        </w:rPr>
        <w:t>水利发展十五至十四五规划、全国水资源综合规划、全国防洪规划、全国水资源保护规划等多项全国性水利规划；承担了国家水资源安全战略研究、水生态文明建设战略研究、中国水利现代化战略研究、产业布局结构及水资源协调研究等多个水利发展战略与政策研究。通过承担重大规划编制、战略研究、政策规则制定等顶层设计工作，已全面把握国家层面宏观要求，准确判断战略导向，深刻领会政策重点，在相</w:t>
      </w:r>
      <w:r>
        <w:rPr>
          <w:spacing w:val="-13"/>
        </w:rPr>
        <w:t>关工作领域牢牢控制行业制高点，进一步筑牢行业权威地位。</w:t>
      </w:r>
    </w:p>
    <w:p>
      <w:pPr>
        <w:pStyle w:val="2"/>
        <w:spacing w:line="396" w:lineRule="exact"/>
        <w:ind w:left="773"/>
      </w:pPr>
      <w:r>
        <w:rPr>
          <w:spacing w:val="-3"/>
        </w:rPr>
        <w:t>行业资源丰富。设立了博士后科研工作站，分别和清华</w:t>
      </w:r>
    </w:p>
    <w:p>
      <w:pPr>
        <w:pStyle w:val="2"/>
        <w:spacing w:before="150" w:line="328" w:lineRule="auto"/>
        <w:ind w:right="433"/>
        <w:jc w:val="both"/>
      </w:pPr>
      <w:r>
        <w:rPr>
          <w:spacing w:val="-2"/>
        </w:rPr>
        <w:t>大学、北京师范大学、天津大学签订联合培养博士后人才协</w:t>
      </w:r>
      <w:r>
        <w:rPr>
          <w:spacing w:val="-3"/>
        </w:rPr>
        <w:t>议。组建了水资源安全保障团队、水工程安全保障团队等</w:t>
      </w:r>
      <w:r>
        <w:rPr>
          <w:rFonts w:ascii="Times New Roman" w:eastAsia="Times New Roman"/>
          <w:spacing w:val="-2"/>
        </w:rPr>
        <w:t>2</w:t>
      </w:r>
      <w:r>
        <w:rPr>
          <w:spacing w:val="-2"/>
        </w:rPr>
        <w:t>个水利部人才创新团队。挂靠国际水资源协会中国国家委员会、中国水土保持学会水土保持规划设计专业委员会等多家</w:t>
      </w:r>
      <w:r>
        <w:rPr>
          <w:spacing w:val="-7"/>
        </w:rPr>
        <w:t>行业学会、协会组织。现有全资企业</w:t>
      </w:r>
      <w:r>
        <w:rPr>
          <w:rFonts w:ascii="Times New Roman" w:eastAsia="Times New Roman"/>
          <w:spacing w:val="-2"/>
        </w:rPr>
        <w:t>3</w:t>
      </w:r>
      <w:r>
        <w:rPr>
          <w:spacing w:val="-3"/>
        </w:rPr>
        <w:t>家，控股行业甲级设</w:t>
      </w:r>
    </w:p>
    <w:p>
      <w:pPr>
        <w:spacing w:after="0" w:line="328" w:lineRule="auto"/>
        <w:jc w:val="both"/>
        <w:sectPr>
          <w:pgSz w:w="11910" w:h="16840"/>
          <w:pgMar w:top="1580" w:right="1380" w:bottom="280" w:left="1680" w:header="720" w:footer="720" w:gutter="0"/>
          <w:cols w:space="720" w:num="1"/>
        </w:sectPr>
      </w:pPr>
    </w:p>
    <w:p>
      <w:pPr>
        <w:pStyle w:val="2"/>
        <w:spacing w:before="4"/>
        <w:ind w:left="0"/>
        <w:rPr>
          <w:sz w:val="17"/>
        </w:rPr>
      </w:pPr>
    </w:p>
    <w:p>
      <w:pPr>
        <w:pStyle w:val="2"/>
        <w:spacing w:before="65" w:line="328" w:lineRule="auto"/>
        <w:ind w:right="111"/>
      </w:pPr>
      <w:r>
        <w:rPr>
          <w:spacing w:val="-16"/>
        </w:rPr>
        <w:t>计院</w:t>
      </w:r>
      <w:r>
        <w:rPr>
          <w:rFonts w:ascii="Times New Roman" w:eastAsia="Times New Roman"/>
        </w:rPr>
        <w:t>2</w:t>
      </w:r>
      <w:r>
        <w:rPr>
          <w:spacing w:val="-4"/>
        </w:rPr>
        <w:t>家，参股行业甲级设计院</w:t>
      </w:r>
      <w:r>
        <w:rPr>
          <w:rFonts w:ascii="Times New Roman" w:eastAsia="Times New Roman"/>
        </w:rPr>
        <w:t>4</w:t>
      </w:r>
      <w:r>
        <w:rPr>
          <w:spacing w:val="-6"/>
        </w:rPr>
        <w:t>家，下属事业单位</w:t>
      </w:r>
      <w:r>
        <w:rPr>
          <w:rFonts w:ascii="Times New Roman" w:eastAsia="Times New Roman"/>
        </w:rPr>
        <w:t>1</w:t>
      </w:r>
      <w:r>
        <w:t>家，</w:t>
      </w:r>
      <w:r>
        <w:rPr>
          <w:spacing w:val="-2"/>
        </w:rPr>
        <w:t>代管水利部重要技术机构</w:t>
      </w:r>
      <w:r>
        <w:rPr>
          <w:rFonts w:ascii="Times New Roman" w:eastAsia="Times New Roman"/>
        </w:rPr>
        <w:t>2</w:t>
      </w:r>
      <w:r>
        <w:t>家，与多个地方水利厅、大型水</w:t>
      </w:r>
      <w:r>
        <w:rPr>
          <w:spacing w:val="-2"/>
        </w:rPr>
        <w:t>利集团签署战略合作框架协议，与高校、科研院所、项目业主等相关方建立了良好合作关系。通过充分发挥行业管理平</w:t>
      </w:r>
      <w:r>
        <w:rPr>
          <w:spacing w:val="-18"/>
        </w:rPr>
        <w:t>台作用，能够有效整合各业务领域的比较优势，将国家需求、</w:t>
      </w:r>
      <w:r>
        <w:rPr>
          <w:spacing w:val="8"/>
        </w:rPr>
        <w:t>科技发展、与工程实践密切结合，集众家之长而补己之短，</w:t>
      </w:r>
      <w:r>
        <w:rPr>
          <w:spacing w:val="-2"/>
        </w:rPr>
        <w:t>发挥独特的集成优势、龙头作用。</w:t>
      </w:r>
    </w:p>
    <w:p>
      <w:pPr>
        <w:pStyle w:val="2"/>
        <w:spacing w:line="398" w:lineRule="exact"/>
        <w:ind w:left="773"/>
      </w:pPr>
      <w:r>
        <w:rPr>
          <w:spacing w:val="11"/>
        </w:rPr>
        <w:t>技术成果丰厚。经过数十年的技术研究，已积累包括</w:t>
      </w:r>
    </w:p>
    <w:p>
      <w:pPr>
        <w:pStyle w:val="2"/>
        <w:spacing w:before="150" w:line="328" w:lineRule="auto"/>
        <w:ind w:right="433"/>
        <w:jc w:val="both"/>
      </w:pPr>
      <w:r>
        <w:rPr>
          <w:spacing w:val="-2"/>
        </w:rPr>
        <w:t>《中国水资源利用》《水功能区划与水资源保护理论技术及应用》《超深与复杂地质条件混凝土防渗墙关键技术》《中国节水型社会建设理论技术体系及其实践应用》《全国水资源综合规划》《水库汛限水位动态控制方法研究》在内的技术成果百余项，多项成果达到国际和国内领先水平，数十项</w:t>
      </w:r>
      <w:r>
        <w:rPr>
          <w:spacing w:val="-12"/>
        </w:rPr>
        <w:t>技术成果荣获国家和省部级奖项，其中国家科技进步奖</w:t>
      </w:r>
      <w:r>
        <w:rPr>
          <w:rFonts w:ascii="Times New Roman" w:eastAsia="Times New Roman"/>
          <w:spacing w:val="-2"/>
        </w:rPr>
        <w:t>3</w:t>
      </w:r>
      <w:r>
        <w:rPr>
          <w:spacing w:val="-2"/>
        </w:rPr>
        <w:t>项</w:t>
      </w:r>
      <w:r>
        <w:rPr>
          <w:rFonts w:ascii="Times New Roman" w:eastAsia="Times New Roman"/>
          <w:spacing w:val="-2"/>
        </w:rPr>
        <w:t>,</w:t>
      </w:r>
      <w:r>
        <w:rPr>
          <w:spacing w:val="-4"/>
        </w:rPr>
        <w:t>大禹水利科学技术奖</w:t>
      </w:r>
      <w:r>
        <w:rPr>
          <w:rFonts w:ascii="Times New Roman" w:eastAsia="Times New Roman"/>
        </w:rPr>
        <w:t>16</w:t>
      </w:r>
      <w:r>
        <w:t>项，全国优秀水利水电工程勘测设</w:t>
      </w:r>
      <w:r>
        <w:rPr>
          <w:w w:val="95"/>
        </w:rPr>
        <w:t>计奖</w:t>
      </w:r>
      <w:r>
        <w:rPr>
          <w:rFonts w:ascii="Times New Roman" w:eastAsia="Times New Roman"/>
          <w:w w:val="95"/>
        </w:rPr>
        <w:t>9</w:t>
      </w:r>
      <w:r>
        <w:rPr>
          <w:w w:val="95"/>
        </w:rPr>
        <w:t>项，省级科学技术奖</w:t>
      </w:r>
      <w:r>
        <w:rPr>
          <w:rFonts w:ascii="Times New Roman" w:eastAsia="Times New Roman"/>
          <w:w w:val="95"/>
        </w:rPr>
        <w:t>6</w:t>
      </w:r>
      <w:r>
        <w:rPr>
          <w:w w:val="95"/>
        </w:rPr>
        <w:t>项，全国优秀工程咨询成果奖</w:t>
      </w:r>
      <w:r>
        <w:rPr>
          <w:rFonts w:ascii="Times New Roman" w:eastAsia="Times New Roman"/>
        </w:rPr>
        <w:t>5</w:t>
      </w:r>
      <w:r>
        <w:t>项。</w:t>
      </w:r>
    </w:p>
    <w:p>
      <w:pPr>
        <w:spacing w:after="0" w:line="328" w:lineRule="auto"/>
        <w:jc w:val="both"/>
        <w:sectPr>
          <w:pgSz w:w="11910" w:h="16840"/>
          <w:pgMar w:top="1580" w:right="1380" w:bottom="280" w:left="1680" w:header="720" w:footer="720" w:gutter="0"/>
          <w:cols w:space="720" w:num="1"/>
        </w:sectPr>
      </w:pPr>
    </w:p>
    <w:p>
      <w:pPr>
        <w:pStyle w:val="2"/>
        <w:spacing w:before="156"/>
        <w:ind w:left="780"/>
        <w:rPr>
          <w:rFonts w:ascii="黑体" w:eastAsia="黑体"/>
        </w:rPr>
      </w:pPr>
      <w:r>
        <w:rPr>
          <w:rFonts w:ascii="黑体" w:eastAsia="黑体"/>
          <w:spacing w:val="-27"/>
        </w:rPr>
        <w:t>附件</w:t>
      </w:r>
      <w:r>
        <w:rPr>
          <w:rFonts w:ascii="Times New Roman" w:eastAsia="Times New Roman"/>
          <w:spacing w:val="-5"/>
        </w:rPr>
        <w:t>2</w:t>
      </w:r>
      <w:r>
        <w:rPr>
          <w:rFonts w:ascii="黑体" w:eastAsia="黑体"/>
          <w:spacing w:val="-5"/>
        </w:rPr>
        <w:t>：</w:t>
      </w:r>
    </w:p>
    <w:p>
      <w:pPr>
        <w:spacing w:before="110"/>
        <w:ind w:left="3388" w:right="3116" w:firstLine="0"/>
        <w:jc w:val="center"/>
        <w:rPr>
          <w:rFonts w:ascii="PMingLiU" w:eastAsia="PMingLiU"/>
          <w:sz w:val="36"/>
        </w:rPr>
      </w:pPr>
      <w:r>
        <w:pict>
          <v:shape id="docshape1" o:spid="_x0000_s1026" o:spt="202" type="#_x0000_t202" style="position:absolute;left:0pt;margin-left:38.05pt;margin-top:29.05pt;height:291.95pt;width:765.7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0"/>
                    <w:gridCol w:w="704"/>
                    <w:gridCol w:w="704"/>
                    <w:gridCol w:w="1711"/>
                    <w:gridCol w:w="557"/>
                    <w:gridCol w:w="2987"/>
                    <w:gridCol w:w="562"/>
                    <w:gridCol w:w="2546"/>
                    <w:gridCol w:w="1003"/>
                    <w:gridCol w:w="850"/>
                    <w:gridCol w:w="851"/>
                    <w:gridCol w:w="850"/>
                    <w:gridCol w:w="15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430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before="10"/>
                          <w:rPr>
                            <w:rFonts w:ascii="PMingLiU"/>
                            <w:sz w:val="37"/>
                          </w:rPr>
                        </w:pPr>
                      </w:p>
                      <w:p>
                        <w:pPr>
                          <w:pStyle w:val="7"/>
                          <w:spacing w:line="290" w:lineRule="auto"/>
                          <w:ind w:left="108" w:right="31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序号</w:t>
                        </w:r>
                      </w:p>
                    </w:tc>
                    <w:tc>
                      <w:tcPr>
                        <w:tcW w:w="704" w:type="dxa"/>
                        <w:vMerge w:val="restart"/>
                      </w:tcPr>
                      <w:p>
                        <w:pPr>
                          <w:pStyle w:val="7"/>
                          <w:spacing w:before="1"/>
                          <w:rPr>
                            <w:rFonts w:ascii="PMingLiU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90" w:lineRule="auto"/>
                          <w:ind w:left="212" w:right="199" w:firstLine="1"/>
                          <w:jc w:val="both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704" w:type="dxa"/>
                        <w:vMerge w:val="restart"/>
                      </w:tcPr>
                      <w:p>
                        <w:pPr>
                          <w:pStyle w:val="7"/>
                          <w:spacing w:before="1"/>
                          <w:rPr>
                            <w:rFonts w:ascii="PMingLiU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90" w:lineRule="auto"/>
                          <w:ind w:left="214" w:right="199"/>
                          <w:jc w:val="both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岗位代码</w:t>
                        </w:r>
                      </w:p>
                    </w:tc>
                    <w:tc>
                      <w:tcPr>
                        <w:tcW w:w="1711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ind w:left="293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3"/>
                            <w:sz w:val="28"/>
                          </w:rPr>
                          <w:t>岗位名称</w:t>
                        </w:r>
                      </w:p>
                    </w:tc>
                    <w:tc>
                      <w:tcPr>
                        <w:tcW w:w="557" w:type="dxa"/>
                        <w:vMerge w:val="restart"/>
                      </w:tcPr>
                      <w:p>
                        <w:pPr>
                          <w:pStyle w:val="7"/>
                          <w:spacing w:before="1"/>
                          <w:rPr>
                            <w:rFonts w:ascii="PMingLiU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90" w:lineRule="auto"/>
                          <w:ind w:left="107" w:right="157"/>
                          <w:jc w:val="both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岗位类别</w:t>
                        </w:r>
                      </w:p>
                    </w:tc>
                    <w:tc>
                      <w:tcPr>
                        <w:tcW w:w="2987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before="10"/>
                          <w:rPr>
                            <w:rFonts w:ascii="PMingLiU"/>
                            <w:sz w:val="37"/>
                          </w:rPr>
                        </w:pPr>
                      </w:p>
                      <w:p>
                        <w:pPr>
                          <w:pStyle w:val="7"/>
                          <w:ind w:left="1127" w:right="1119"/>
                          <w:jc w:val="center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20"/>
                            <w:sz w:val="28"/>
                          </w:rPr>
                          <w:t>岗位</w:t>
                        </w:r>
                      </w:p>
                      <w:p>
                        <w:pPr>
                          <w:pStyle w:val="7"/>
                          <w:spacing w:before="109"/>
                          <w:ind w:left="1127" w:right="1119"/>
                          <w:jc w:val="center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20"/>
                            <w:sz w:val="28"/>
                          </w:rPr>
                          <w:t>描述</w:t>
                        </w:r>
                      </w:p>
                    </w:tc>
                    <w:tc>
                      <w:tcPr>
                        <w:tcW w:w="562" w:type="dxa"/>
                        <w:vMerge w:val="restart"/>
                      </w:tcPr>
                      <w:p>
                        <w:pPr>
                          <w:pStyle w:val="7"/>
                          <w:spacing w:before="1"/>
                          <w:rPr>
                            <w:rFonts w:ascii="PMingLiU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line="290" w:lineRule="auto"/>
                          <w:ind w:left="107" w:right="162"/>
                          <w:jc w:val="both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招聘人数</w:t>
                        </w:r>
                      </w:p>
                    </w:tc>
                    <w:tc>
                      <w:tcPr>
                        <w:tcW w:w="6100" w:type="dxa"/>
                        <w:gridSpan w:val="5"/>
                      </w:tcPr>
                      <w:p>
                        <w:pPr>
                          <w:pStyle w:val="7"/>
                          <w:spacing w:before="42"/>
                          <w:ind w:left="2195" w:right="2187"/>
                          <w:jc w:val="center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2"/>
                            <w:sz w:val="28"/>
                          </w:rPr>
                          <w:t>应聘人员条件</w:t>
                        </w:r>
                      </w:p>
                    </w:tc>
                    <w:tc>
                      <w:tcPr>
                        <w:tcW w:w="1549" w:type="dxa"/>
                        <w:vMerge w:val="restart"/>
                      </w:tcPr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before="10"/>
                          <w:rPr>
                            <w:rFonts w:ascii="PMingLiU"/>
                            <w:sz w:val="37"/>
                          </w:rPr>
                        </w:pPr>
                      </w:p>
                      <w:p>
                        <w:pPr>
                          <w:pStyle w:val="7"/>
                          <w:spacing w:line="290" w:lineRule="auto"/>
                          <w:ind w:left="633" w:right="623"/>
                          <w:jc w:val="center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68" w:hRule="atLeast"/>
                    </w:trPr>
                    <w:tc>
                      <w:tcPr>
                        <w:tcW w:w="43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1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8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2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6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rFonts w:ascii="PMingLiU"/>
                            <w:sz w:val="37"/>
                          </w:rPr>
                        </w:pPr>
                      </w:p>
                      <w:p>
                        <w:pPr>
                          <w:pStyle w:val="7"/>
                          <w:ind w:left="907" w:right="899"/>
                          <w:jc w:val="center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20"/>
                            <w:sz w:val="28"/>
                          </w:rPr>
                          <w:t>专业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rFonts w:ascii="PMingLiU"/>
                            <w:sz w:val="37"/>
                          </w:rPr>
                        </w:pPr>
                      </w:p>
                      <w:p>
                        <w:pPr>
                          <w:pStyle w:val="7"/>
                          <w:ind w:left="220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5"/>
                            <w:sz w:val="28"/>
                          </w:rPr>
                          <w:t>学历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spacing w:line="170" w:lineRule="auto"/>
                          <w:ind w:left="143" w:right="134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6"/>
                            <w:sz w:val="28"/>
                          </w:rPr>
                          <w:t>政治</w:t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5"/>
                            <w:sz w:val="28"/>
                          </w:rPr>
                          <w:t>面貌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spacing w:line="170" w:lineRule="auto"/>
                          <w:ind w:left="144" w:right="133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6"/>
                            <w:sz w:val="28"/>
                          </w:rPr>
                          <w:t>是否</w:t>
                        </w:r>
                        <w:r>
                          <w:rPr>
                            <w:rFonts w:ascii="Microsoft JhengHei" w:eastAsia="Microsoft JhengHei"/>
                            <w:b/>
                            <w:spacing w:val="-5"/>
                            <w:sz w:val="28"/>
                          </w:rPr>
                          <w:t>在职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before="1"/>
                          <w:rPr>
                            <w:rFonts w:ascii="PMingLiU"/>
                            <w:sz w:val="32"/>
                          </w:rPr>
                        </w:pPr>
                      </w:p>
                      <w:p>
                        <w:pPr>
                          <w:pStyle w:val="7"/>
                          <w:spacing w:line="170" w:lineRule="auto"/>
                          <w:ind w:left="284" w:right="273"/>
                          <w:rPr>
                            <w:rFonts w:ascii="Microsoft JhengHei" w:eastAsia="Microsoft JhengHei"/>
                            <w:b/>
                            <w:sz w:val="28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10"/>
                            <w:sz w:val="28"/>
                          </w:rPr>
                          <w:t>其他</w:t>
                        </w:r>
                      </w:p>
                    </w:tc>
                    <w:tc>
                      <w:tcPr>
                        <w:tcW w:w="1549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7" w:hRule="atLeast"/>
                    </w:trPr>
                    <w:tc>
                      <w:tcPr>
                        <w:tcW w:w="430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52"/>
                          <w:ind w:lef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04" w:type="dxa"/>
                      </w:tcPr>
                      <w:p>
                        <w:pPr>
                          <w:pStyle w:val="7"/>
                          <w:spacing w:before="179" w:line="278" w:lineRule="auto"/>
                          <w:ind w:left="108" w:right="9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16"/>
                            <w:sz w:val="21"/>
                          </w:rPr>
                          <w:t>水利部水利水电规划设计总</w:t>
                        </w:r>
                        <w:r>
                          <w:rPr>
                            <w:spacing w:val="-10"/>
                            <w:sz w:val="21"/>
                          </w:rPr>
                          <w:t>院</w:t>
                        </w:r>
                      </w:p>
                    </w:tc>
                    <w:tc>
                      <w:tcPr>
                        <w:tcW w:w="704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52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0501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3"/>
                          <w:rPr>
                            <w:rFonts w:ascii="PMingLiU"/>
                            <w:sz w:val="19"/>
                          </w:rPr>
                        </w:pPr>
                      </w:p>
                      <w:p>
                        <w:pPr>
                          <w:pStyle w:val="7"/>
                          <w:spacing w:line="242" w:lineRule="auto"/>
                          <w:ind w:left="375" w:right="123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水利规划与战</w:t>
                        </w:r>
                        <w:r>
                          <w:rPr>
                            <w:spacing w:val="-4"/>
                            <w:sz w:val="24"/>
                          </w:rPr>
                          <w:t>略研究岗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2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42" w:lineRule="auto"/>
                          <w:ind w:left="158" w:right="14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专业技术岗</w:t>
                        </w:r>
                      </w:p>
                    </w:tc>
                    <w:tc>
                      <w:tcPr>
                        <w:tcW w:w="2987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12"/>
                          <w:rPr>
                            <w:rFonts w:ascii="PMingLiU"/>
                            <w:sz w:val="20"/>
                          </w:rPr>
                        </w:pPr>
                      </w:p>
                      <w:p>
                        <w:pPr>
                          <w:pStyle w:val="7"/>
                          <w:spacing w:before="1" w:line="242" w:lineRule="auto"/>
                          <w:ind w:left="108" w:right="22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负责水利规划编制、水利发展战略研究，水资源调查评价与配置方案制定、水利技术标准制定、水利普查等相关工作。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7"/>
                          <w:rPr>
                            <w:rFonts w:ascii="PMingLiU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46" w:type="dxa"/>
                      </w:tcPr>
                      <w:p>
                        <w:pPr>
                          <w:pStyle w:val="7"/>
                          <w:spacing w:before="4" w:line="242" w:lineRule="auto"/>
                          <w:ind w:left="108" w:right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水利工程</w:t>
                        </w:r>
                        <w:r>
                          <w:rPr>
                            <w:sz w:val="24"/>
                          </w:rPr>
                          <w:t>(081500/</w:t>
                        </w:r>
                        <w:r>
                          <w:rPr>
                            <w:spacing w:val="-2"/>
                            <w:sz w:val="24"/>
                          </w:rPr>
                          <w:t>085902)、水文学及水</w:t>
                        </w:r>
                        <w:r>
                          <w:rPr>
                            <w:spacing w:val="5"/>
                            <w:sz w:val="24"/>
                          </w:rPr>
                          <w:t>资源</w:t>
                        </w:r>
                        <w:r>
                          <w:rPr>
                            <w:sz w:val="24"/>
                          </w:rPr>
                          <w:t>(081501)</w:t>
                        </w:r>
                        <w:r>
                          <w:rPr>
                            <w:spacing w:val="2"/>
                            <w:sz w:val="24"/>
                          </w:rPr>
                          <w:t>、水利</w:t>
                        </w:r>
                        <w:r>
                          <w:rPr>
                            <w:spacing w:val="-2"/>
                            <w:sz w:val="24"/>
                          </w:rPr>
                          <w:t>水电工程（081504）、</w:t>
                        </w:r>
                        <w:r>
                          <w:rPr>
                            <w:sz w:val="24"/>
                          </w:rPr>
                          <w:t>农业水土工程</w:t>
                        </w:r>
                        <w:r>
                          <w:rPr>
                            <w:spacing w:val="-2"/>
                            <w:sz w:val="24"/>
                          </w:rPr>
                          <w:t>(082802)</w:t>
                        </w:r>
                        <w:r>
                          <w:rPr>
                            <w:spacing w:val="-15"/>
                            <w:sz w:val="24"/>
                          </w:rPr>
                          <w:t>、农田水土工</w:t>
                        </w:r>
                        <w:r>
                          <w:rPr>
                            <w:spacing w:val="-2"/>
                            <w:sz w:val="24"/>
                          </w:rPr>
                          <w:t>程（085904)、环境工</w:t>
                        </w:r>
                        <w:r>
                          <w:rPr>
                            <w:sz w:val="24"/>
                          </w:rPr>
                          <w:t>程(083002/085701)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rFonts w:ascii="PMingLiU"/>
                            <w:sz w:val="30"/>
                          </w:rPr>
                        </w:pPr>
                      </w:p>
                      <w:p>
                        <w:pPr>
                          <w:pStyle w:val="7"/>
                          <w:spacing w:line="242" w:lineRule="auto"/>
                          <w:ind w:left="261" w:right="129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博士研</w:t>
                        </w:r>
                        <w:r>
                          <w:rPr>
                            <w:spacing w:val="-6"/>
                            <w:sz w:val="24"/>
                          </w:rPr>
                          <w:t>究生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7"/>
                          <w:rPr>
                            <w:rFonts w:ascii="PMingLiU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不限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7"/>
                          <w:rPr>
                            <w:rFonts w:ascii="PMingLiU"/>
                            <w:sz w:val="17"/>
                          </w:rPr>
                        </w:pPr>
                      </w:p>
                      <w:p>
                        <w:pPr>
                          <w:pStyle w:val="7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应届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ascii="PMingLiU"/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before="5"/>
                          <w:rPr>
                            <w:rFonts w:ascii="PMingLiU"/>
                            <w:sz w:val="30"/>
                          </w:rPr>
                        </w:pPr>
                      </w:p>
                      <w:p>
                        <w:pPr>
                          <w:pStyle w:val="7"/>
                          <w:spacing w:line="242" w:lineRule="auto"/>
                          <w:ind w:left="185" w:right="174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京外</w:t>
                        </w:r>
                        <w:r>
                          <w:rPr>
                            <w:spacing w:val="-5"/>
                            <w:sz w:val="24"/>
                          </w:rPr>
                          <w:t>生源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ind w:left="0"/>
                  </w:pPr>
                </w:p>
              </w:txbxContent>
            </v:textbox>
          </v:shape>
        </w:pict>
      </w:r>
      <w:r>
        <w:rPr>
          <w:rFonts w:ascii="PMingLiU" w:eastAsia="PMingLiU"/>
          <w:spacing w:val="-1"/>
          <w:sz w:val="36"/>
        </w:rPr>
        <w:t>水利部水利水电规划设计总院公开招聘工作人员岗位信息</w:t>
      </w:r>
    </w:p>
    <w:sectPr>
      <w:pgSz w:w="16840" w:h="11910" w:orient="landscape"/>
      <w:pgMar w:top="1100" w:right="660" w:bottom="28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5A683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3"/>
    </w:pPr>
    <w:rPr>
      <w:rFonts w:ascii="仿宋" w:hAnsi="仿宋" w:eastAsia="仿宋" w:cs="仿宋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50"/>
      <w:ind w:left="1255" w:hanging="482"/>
    </w:pPr>
    <w:rPr>
      <w:rFonts w:ascii="仿宋" w:hAnsi="仿宋" w:eastAsia="仿宋" w:cs="仿宋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2022-03-17T01:50:00Z</dcterms:created>
  <dc:creator>xiaoxiannv</dc:creator>
  <cp:lastModifiedBy>_Tr y.</cp:lastModifiedBy>
  <dcterms:modified xsi:type="dcterms:W3CDTF">2022-03-17T01:53:59Z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2022-03-17T00:00:00Z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36B6325809B341C887A1BAF30E6776D6</vt:lpwstr>
  </property>
</Properties>
</file>