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1"/>
          <w:tab w:val="left" w:pos="4477"/>
          <w:tab w:val="left" w:pos="5569"/>
          <w:tab w:val="left" w:pos="7625"/>
          <w:tab w:val="left" w:pos="9339"/>
          <w:tab w:val="left" w:pos="12124"/>
          <w:tab w:val="left" w:pos="18231"/>
          <w:tab w:val="left" w:pos="19710"/>
        </w:tabs>
        <w:rPr>
          <w:rFonts w:hint="default"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69" w:beforeLines="50" w:after="169" w:afterLines="5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宁乡经济技术开发区建设投资</w:t>
      </w:r>
      <w:r>
        <w:rPr>
          <w:rFonts w:ascii="方正小标宋简体" w:hAnsi="方正小标宋简体" w:eastAsia="方正小标宋简体" w:cs="方正小标宋简体"/>
          <w:color w:val="auto"/>
          <w:sz w:val="44"/>
          <w:szCs w:val="44"/>
        </w:rPr>
        <w:t>有限公司202</w:t>
      </w:r>
      <w:r>
        <w:rPr>
          <w:rFonts w:hint="eastAsia" w:ascii="方正小标宋简体" w:hAnsi="方正小标宋简体" w:eastAsia="方正小标宋简体" w:cs="方正小标宋简体"/>
          <w:color w:val="auto"/>
          <w:sz w:val="44"/>
          <w:szCs w:val="44"/>
        </w:rPr>
        <w:t>2</w:t>
      </w:r>
      <w:r>
        <w:rPr>
          <w:rFonts w:ascii="方正小标宋简体" w:hAnsi="方正小标宋简体" w:eastAsia="方正小标宋简体" w:cs="方正小标宋简体"/>
          <w:color w:val="auto"/>
          <w:sz w:val="44"/>
          <w:szCs w:val="44"/>
        </w:rPr>
        <w:t>年公开招聘</w:t>
      </w:r>
      <w:r>
        <w:rPr>
          <w:rFonts w:hint="eastAsia" w:ascii="方正小标宋简体" w:hAnsi="方正小标宋简体" w:eastAsia="方正小标宋简体" w:cs="方正小标宋简体"/>
          <w:color w:val="auto"/>
          <w:sz w:val="44"/>
          <w:szCs w:val="44"/>
        </w:rPr>
        <w:t>岗位表</w:t>
      </w:r>
    </w:p>
    <w:tbl>
      <w:tblPr>
        <w:tblStyle w:val="3"/>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249"/>
        <w:gridCol w:w="772"/>
        <w:gridCol w:w="815"/>
        <w:gridCol w:w="1101"/>
        <w:gridCol w:w="1605"/>
        <w:gridCol w:w="5656"/>
        <w:gridCol w:w="107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blHeader/>
          <w:jc w:val="center"/>
        </w:trPr>
        <w:tc>
          <w:tcPr>
            <w:tcW w:w="548"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序号</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招聘岗位</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招聘</w:t>
            </w:r>
          </w:p>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人数</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年龄</w:t>
            </w:r>
          </w:p>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要求</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学历要求</w:t>
            </w:r>
          </w:p>
        </w:tc>
        <w:tc>
          <w:tcPr>
            <w:tcW w:w="1605"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专业要求</w:t>
            </w:r>
          </w:p>
        </w:tc>
        <w:tc>
          <w:tcPr>
            <w:tcW w:w="5656"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其他要求</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最低服务</w:t>
            </w:r>
          </w:p>
          <w:p>
            <w:pPr>
              <w:spacing w:line="300" w:lineRule="exact"/>
              <w:jc w:val="center"/>
              <w:textAlignment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期限</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b/>
                <w:color w:val="auto"/>
                <w:kern w:val="0"/>
                <w:sz w:val="24"/>
                <w:szCs w:val="24"/>
                <w:lang w:eastAsia="zh-CN" w:bidi="ar"/>
              </w:rPr>
            </w:pPr>
            <w:r>
              <w:rPr>
                <w:rFonts w:hint="eastAsia" w:ascii="宋体" w:hAnsi="宋体" w:cs="宋体"/>
                <w:b/>
                <w:color w:val="auto"/>
                <w:kern w:val="0"/>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48" w:type="dxa"/>
            <w:noWrap/>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基金专干</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35周岁以下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1.具有基金从业资格证；</w:t>
            </w:r>
          </w:p>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2.具有5年</w:t>
            </w:r>
            <w:r>
              <w:rPr>
                <w:rFonts w:hint="eastAsia" w:ascii="宋体" w:hAnsi="宋体" w:cs="宋体"/>
                <w:color w:val="auto"/>
                <w:kern w:val="0"/>
                <w:sz w:val="24"/>
                <w:szCs w:val="24"/>
                <w:lang w:eastAsia="zh-CN" w:bidi="ar"/>
              </w:rPr>
              <w:t>及</w:t>
            </w:r>
            <w:r>
              <w:rPr>
                <w:rFonts w:hint="eastAsia" w:ascii="宋体" w:hAnsi="宋体" w:cs="宋体"/>
                <w:color w:val="auto"/>
                <w:kern w:val="0"/>
                <w:sz w:val="24"/>
                <w:szCs w:val="24"/>
                <w:lang w:bidi="ar"/>
              </w:rPr>
              <w:t>以上基金投资管理相关经验,可以独立完成项目尽调工作；有2个、500万元以上股权（含创投、定增）投资项目的投资或退出经验，可提供相关证明材料；</w:t>
            </w:r>
          </w:p>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3.熟悉投资、并购相关法律法规, 具备良好的金融、法律、财务等相关业务知识；</w:t>
            </w:r>
          </w:p>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4.具有较强的计划协调、综合分析、沟通表达及商业谈判能力。</w:t>
            </w:r>
          </w:p>
        </w:tc>
        <w:tc>
          <w:tcPr>
            <w:tcW w:w="1072" w:type="dxa"/>
            <w:noWrap w:val="0"/>
            <w:tcMar>
              <w:top w:w="15" w:type="dxa"/>
              <w:left w:w="15" w:type="dxa"/>
              <w:right w:w="15" w:type="dxa"/>
            </w:tcMar>
            <w:vAlign w:val="center"/>
          </w:tcPr>
          <w:p>
            <w:pPr>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3" w:hRule="atLeast"/>
          <w:jc w:val="center"/>
        </w:trPr>
        <w:tc>
          <w:tcPr>
            <w:tcW w:w="548" w:type="dxa"/>
            <w:noWrap/>
            <w:tcMar>
              <w:top w:w="15" w:type="dxa"/>
              <w:left w:w="15" w:type="dxa"/>
              <w:right w:w="15" w:type="dxa"/>
            </w:tcMar>
            <w:vAlign w:val="center"/>
          </w:tcPr>
          <w:p>
            <w:pPr>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投资专干</w:t>
            </w:r>
          </w:p>
        </w:tc>
        <w:tc>
          <w:tcPr>
            <w:tcW w:w="772" w:type="dxa"/>
            <w:noWrap w:val="0"/>
            <w:tcMar>
              <w:top w:w="15" w:type="dxa"/>
              <w:left w:w="15" w:type="dxa"/>
              <w:right w:w="15" w:type="dxa"/>
            </w:tcMar>
            <w:vAlign w:val="center"/>
          </w:tcPr>
          <w:p>
            <w:pPr>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815" w:type="dxa"/>
            <w:noWrap w:val="0"/>
            <w:tcMar>
              <w:top w:w="15" w:type="dxa"/>
              <w:left w:w="15" w:type="dxa"/>
              <w:right w:w="15" w:type="dxa"/>
            </w:tcMar>
            <w:vAlign w:val="center"/>
          </w:tcPr>
          <w:p>
            <w:pPr>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35周岁以下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1.具有基金从业资格证；</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eastAsia="zh-CN" w:bidi="ar"/>
              </w:rPr>
              <w:t>具有</w:t>
            </w:r>
            <w:r>
              <w:rPr>
                <w:rFonts w:hint="eastAsia" w:ascii="宋体" w:hAnsi="宋体" w:cs="宋体"/>
                <w:color w:val="auto"/>
                <w:kern w:val="0"/>
                <w:sz w:val="24"/>
                <w:szCs w:val="24"/>
                <w:lang w:bidi="ar"/>
              </w:rPr>
              <w:t>3年</w:t>
            </w:r>
            <w:r>
              <w:rPr>
                <w:rFonts w:hint="eastAsia" w:ascii="宋体" w:hAnsi="宋体" w:cs="宋体"/>
                <w:color w:val="auto"/>
                <w:kern w:val="0"/>
                <w:sz w:val="24"/>
                <w:szCs w:val="24"/>
                <w:lang w:eastAsia="zh-CN" w:bidi="ar"/>
              </w:rPr>
              <w:t>及</w:t>
            </w:r>
            <w:r>
              <w:rPr>
                <w:rFonts w:hint="eastAsia" w:ascii="宋体" w:hAnsi="宋体" w:cs="宋体"/>
                <w:color w:val="auto"/>
                <w:kern w:val="0"/>
                <w:sz w:val="24"/>
                <w:szCs w:val="24"/>
                <w:lang w:bidi="ar"/>
              </w:rPr>
              <w:t>以上私募股权基金运营相关工作经验，熟悉协会系统、运营系统、监管规定、基金备案、基金托管、基金财务、基金工商的登记；</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3.具备私募股权投资基金业务能力，能解读基金合同，熟悉基金的分配、兑付、清算等计算逻辑，熟悉基金设立、备案、信息披露、分配和清算等工作；</w:t>
            </w:r>
          </w:p>
          <w:p>
            <w:pPr>
              <w:spacing w:line="300" w:lineRule="exact"/>
              <w:jc w:val="left"/>
              <w:textAlignment w:val="center"/>
              <w:rPr>
                <w:rFonts w:hint="eastAsia"/>
                <w:color w:val="auto"/>
                <w:sz w:val="24"/>
                <w:szCs w:val="24"/>
              </w:rPr>
            </w:pPr>
            <w:r>
              <w:rPr>
                <w:rFonts w:hint="eastAsia" w:ascii="宋体" w:hAnsi="宋体" w:cs="宋体"/>
                <w:color w:val="auto"/>
                <w:kern w:val="0"/>
                <w:sz w:val="24"/>
                <w:szCs w:val="24"/>
                <w:lang w:bidi="ar"/>
              </w:rPr>
              <w:t>4.具有较强的公文写作和数据分析能力，熟悉行业法律法规。</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9" w:hRule="atLeast"/>
          <w:jc w:val="center"/>
        </w:trPr>
        <w:tc>
          <w:tcPr>
            <w:tcW w:w="548" w:type="dxa"/>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风控专干</w:t>
            </w:r>
            <w:r>
              <w:rPr>
                <w:rFonts w:hint="eastAsia" w:ascii="宋体" w:hAnsi="宋体" w:cs="宋体"/>
                <w:color w:val="auto"/>
                <w:sz w:val="24"/>
                <w:szCs w:val="24"/>
                <w:lang w:val="en-US" w:eastAsia="zh-CN"/>
              </w:rPr>
              <w:t>1</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硕士研究生</w:t>
            </w:r>
            <w:r>
              <w:rPr>
                <w:rFonts w:hint="eastAsia" w:ascii="宋体" w:hAnsi="宋体" w:cs="宋体"/>
                <w:color w:val="auto"/>
                <w:kern w:val="0"/>
                <w:sz w:val="24"/>
                <w:szCs w:val="24"/>
                <w:lang w:eastAsia="zh-CN" w:bidi="ar"/>
              </w:rPr>
              <w:t>及以上</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经济和管理学大类、法学类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1.中共党员</w:t>
            </w:r>
            <w:r>
              <w:rPr>
                <w:rFonts w:hint="eastAsia" w:ascii="宋体" w:hAnsi="宋体" w:cs="宋体"/>
                <w:color w:val="auto"/>
                <w:kern w:val="0"/>
                <w:sz w:val="24"/>
                <w:szCs w:val="24"/>
                <w:lang w:eastAsia="zh-CN" w:bidi="ar"/>
              </w:rPr>
              <w:t>（含预备党员）</w:t>
            </w:r>
            <w:r>
              <w:rPr>
                <w:rFonts w:hint="eastAsia" w:ascii="宋体" w:hAnsi="宋体" w:cs="宋体"/>
                <w:color w:val="auto"/>
                <w:kern w:val="0"/>
                <w:sz w:val="24"/>
                <w:szCs w:val="24"/>
                <w:lang w:bidi="ar"/>
              </w:rPr>
              <w:t>；</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2.具有3年及以上行政事业单位或大中型国有企业纪检监察、内审风控等相关工作经验；</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3.具有较强的组织协调、调查分析和公文写作</w:t>
            </w:r>
            <w:r>
              <w:rPr>
                <w:rFonts w:hint="eastAsia" w:ascii="宋体" w:hAnsi="宋体" w:cs="宋体"/>
                <w:color w:val="auto"/>
                <w:kern w:val="0"/>
                <w:sz w:val="24"/>
                <w:szCs w:val="24"/>
                <w:lang w:eastAsia="zh-CN" w:bidi="ar"/>
              </w:rPr>
              <w:t>能</w:t>
            </w:r>
            <w:r>
              <w:rPr>
                <w:rFonts w:hint="eastAsia" w:ascii="宋体" w:hAnsi="宋体" w:cs="宋体"/>
                <w:color w:val="auto"/>
                <w:kern w:val="0"/>
                <w:sz w:val="24"/>
                <w:szCs w:val="24"/>
                <w:lang w:bidi="ar"/>
              </w:rPr>
              <w:t xml:space="preserve">力； </w:t>
            </w:r>
          </w:p>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4.具有中级审计师职称或法律</w:t>
            </w:r>
            <w:r>
              <w:rPr>
                <w:rFonts w:hint="eastAsia" w:ascii="宋体" w:hAnsi="宋体" w:cs="宋体"/>
                <w:color w:val="auto"/>
                <w:kern w:val="0"/>
                <w:sz w:val="24"/>
                <w:szCs w:val="24"/>
                <w:lang w:eastAsia="zh-CN" w:bidi="ar"/>
              </w:rPr>
              <w:t>职业</w:t>
            </w:r>
            <w:r>
              <w:rPr>
                <w:rFonts w:hint="eastAsia" w:ascii="宋体" w:hAnsi="宋体" w:cs="宋体"/>
                <w:color w:val="auto"/>
                <w:kern w:val="0"/>
                <w:sz w:val="24"/>
                <w:szCs w:val="24"/>
                <w:lang w:bidi="ar"/>
              </w:rPr>
              <w:t>资格证（A证）者优先。</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5" w:hRule="atLeast"/>
          <w:jc w:val="center"/>
        </w:trPr>
        <w:tc>
          <w:tcPr>
            <w:tcW w:w="548" w:type="dxa"/>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w:t>
            </w:r>
          </w:p>
        </w:tc>
        <w:tc>
          <w:tcPr>
            <w:tcW w:w="1249" w:type="dxa"/>
            <w:noWrap w:val="0"/>
            <w:tcMar>
              <w:top w:w="15" w:type="dxa"/>
              <w:left w:w="15" w:type="dxa"/>
              <w:right w:w="15" w:type="dxa"/>
            </w:tcMar>
            <w:vAlign w:val="center"/>
          </w:tcPr>
          <w:p>
            <w:pPr>
              <w:spacing w:line="30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风控专干2</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sz w:val="24"/>
                <w:szCs w:val="24"/>
                <w:lang w:val="en-US" w:eastAsia="zh-CN"/>
              </w:rPr>
              <w:t>2</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35周岁以下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硕士研究生</w:t>
            </w:r>
            <w:r>
              <w:rPr>
                <w:rFonts w:hint="eastAsia" w:ascii="宋体" w:hAnsi="宋体" w:cs="宋体"/>
                <w:color w:val="auto"/>
                <w:kern w:val="0"/>
                <w:sz w:val="24"/>
                <w:szCs w:val="24"/>
                <w:lang w:eastAsia="zh-CN" w:bidi="ar"/>
              </w:rPr>
              <w:t>及以上</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sz w:val="24"/>
                <w:szCs w:val="24"/>
              </w:rPr>
              <w:t>法学类</w:t>
            </w: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sz w:val="24"/>
                <w:szCs w:val="24"/>
              </w:rPr>
            </w:pPr>
            <w:r>
              <w:rPr>
                <w:rFonts w:hint="eastAsia" w:ascii="宋体" w:hAnsi="宋体" w:cs="宋体"/>
                <w:color w:val="auto"/>
                <w:sz w:val="24"/>
                <w:szCs w:val="24"/>
              </w:rPr>
              <w:t>1.具有3年及以上行政事业单位或大中型国有企业或律师事务所法务工作经验；</w:t>
            </w:r>
          </w:p>
          <w:p>
            <w:pPr>
              <w:spacing w:line="300" w:lineRule="exact"/>
              <w:jc w:val="left"/>
              <w:textAlignment w:val="center"/>
              <w:rPr>
                <w:rFonts w:hint="eastAsia" w:ascii="宋体" w:hAnsi="宋体" w:cs="宋体"/>
                <w:color w:val="auto"/>
                <w:sz w:val="24"/>
                <w:szCs w:val="24"/>
              </w:rPr>
            </w:pPr>
            <w:r>
              <w:rPr>
                <w:rFonts w:hint="eastAsia" w:ascii="宋体" w:hAnsi="宋体" w:cs="宋体"/>
                <w:color w:val="auto"/>
                <w:sz w:val="24"/>
                <w:szCs w:val="24"/>
              </w:rPr>
              <w:t>2.具有法律</w:t>
            </w:r>
            <w:r>
              <w:rPr>
                <w:rFonts w:hint="eastAsia" w:ascii="宋体" w:hAnsi="宋体" w:cs="宋体"/>
                <w:color w:val="auto"/>
                <w:sz w:val="24"/>
                <w:szCs w:val="24"/>
                <w:lang w:eastAsia="zh-CN"/>
              </w:rPr>
              <w:t>职业</w:t>
            </w:r>
            <w:r>
              <w:rPr>
                <w:rFonts w:hint="eastAsia" w:ascii="宋体" w:hAnsi="宋体" w:cs="宋体"/>
                <w:color w:val="auto"/>
                <w:sz w:val="24"/>
                <w:szCs w:val="24"/>
              </w:rPr>
              <w:t>资格证（A证）；</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3.具有较强的公文写作和沟通协调能力。</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3" w:hRule="atLeast"/>
          <w:jc w:val="center"/>
        </w:trPr>
        <w:tc>
          <w:tcPr>
            <w:tcW w:w="5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5</w:t>
            </w:r>
          </w:p>
        </w:tc>
        <w:tc>
          <w:tcPr>
            <w:tcW w:w="1249" w:type="dxa"/>
            <w:tcBorders>
              <w:left w:val="single" w:color="auto" w:sz="4" w:space="0"/>
            </w:tcBorders>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会计</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5</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4"/>
                <w:szCs w:val="24"/>
                <w:lang w:eastAsia="zh-CN"/>
              </w:rPr>
            </w:pPr>
            <w:r>
              <w:rPr>
                <w:rStyle w:val="5"/>
                <w:rFonts w:hint="eastAsia" w:eastAsia="宋体"/>
                <w:color w:val="auto"/>
                <w:sz w:val="24"/>
                <w:szCs w:val="24"/>
                <w:lang w:eastAsia="zh-CN" w:bidi="ar"/>
              </w:rPr>
              <w:t>会计、</w:t>
            </w:r>
            <w:r>
              <w:rPr>
                <w:rStyle w:val="5"/>
                <w:color w:val="auto"/>
                <w:sz w:val="24"/>
                <w:szCs w:val="24"/>
                <w:lang w:bidi="ar"/>
              </w:rPr>
              <w:t>会计学、财务管理、</w:t>
            </w:r>
            <w:r>
              <w:rPr>
                <w:rStyle w:val="6"/>
                <w:color w:val="auto"/>
                <w:sz w:val="24"/>
                <w:szCs w:val="24"/>
                <w:lang w:bidi="ar"/>
              </w:rPr>
              <w:t>审计学、</w:t>
            </w:r>
            <w:r>
              <w:rPr>
                <w:rStyle w:val="5"/>
                <w:color w:val="auto"/>
                <w:sz w:val="24"/>
                <w:szCs w:val="24"/>
                <w:lang w:bidi="ar"/>
              </w:rPr>
              <w:t>金融学、财政学</w:t>
            </w:r>
            <w:r>
              <w:rPr>
                <w:rStyle w:val="5"/>
                <w:rFonts w:eastAsia="宋体"/>
                <w:color w:val="auto"/>
                <w:sz w:val="24"/>
                <w:szCs w:val="24"/>
                <w:lang w:eastAsia="zh-CN" w:bidi="ar"/>
              </w:rPr>
              <w:t>、财务会计与审计</w:t>
            </w:r>
          </w:p>
        </w:tc>
        <w:tc>
          <w:tcPr>
            <w:tcW w:w="5656" w:type="dxa"/>
            <w:noWrap w:val="0"/>
            <w:tcMar>
              <w:top w:w="15" w:type="dxa"/>
              <w:left w:w="15" w:type="dxa"/>
              <w:right w:w="15" w:type="dxa"/>
            </w:tcMar>
            <w:vAlign w:val="center"/>
          </w:tcPr>
          <w:p>
            <w:pPr>
              <w:spacing w:line="300" w:lineRule="exact"/>
              <w:jc w:val="left"/>
              <w:textAlignment w:val="center"/>
              <w:rPr>
                <w:rStyle w:val="5"/>
                <w:color w:val="auto"/>
                <w:sz w:val="24"/>
                <w:szCs w:val="24"/>
                <w:lang w:bidi="ar"/>
              </w:rPr>
            </w:pPr>
            <w:r>
              <w:rPr>
                <w:rStyle w:val="7"/>
                <w:color w:val="auto"/>
                <w:sz w:val="24"/>
                <w:szCs w:val="24"/>
                <w:lang w:bidi="ar"/>
              </w:rPr>
              <w:t>1.具有中级会计师及以上职称；</w:t>
            </w:r>
          </w:p>
          <w:p>
            <w:pPr>
              <w:spacing w:line="300" w:lineRule="exact"/>
              <w:jc w:val="left"/>
              <w:textAlignment w:val="center"/>
              <w:rPr>
                <w:rStyle w:val="5"/>
                <w:color w:val="auto"/>
                <w:sz w:val="24"/>
                <w:szCs w:val="24"/>
                <w:lang w:bidi="ar"/>
              </w:rPr>
            </w:pPr>
            <w:r>
              <w:rPr>
                <w:rStyle w:val="7"/>
                <w:rFonts w:hint="eastAsia" w:eastAsia="宋体"/>
                <w:color w:val="auto"/>
                <w:sz w:val="24"/>
                <w:szCs w:val="24"/>
                <w:lang w:val="en-US" w:eastAsia="zh-CN" w:bidi="ar"/>
              </w:rPr>
              <w:t>2</w:t>
            </w:r>
            <w:r>
              <w:rPr>
                <w:rStyle w:val="7"/>
                <w:color w:val="auto"/>
                <w:sz w:val="24"/>
                <w:szCs w:val="24"/>
                <w:lang w:bidi="ar"/>
              </w:rPr>
              <w:t>.具有3年及以上</w:t>
            </w:r>
            <w:r>
              <w:rPr>
                <w:rStyle w:val="5"/>
                <w:color w:val="auto"/>
                <w:sz w:val="24"/>
                <w:szCs w:val="24"/>
                <w:lang w:bidi="ar"/>
              </w:rPr>
              <w:t>财务管理相关工作经验；</w:t>
            </w:r>
          </w:p>
          <w:p>
            <w:pPr>
              <w:spacing w:line="300" w:lineRule="exact"/>
              <w:jc w:val="left"/>
              <w:textAlignment w:val="center"/>
              <w:rPr>
                <w:rStyle w:val="5"/>
                <w:color w:val="auto"/>
                <w:sz w:val="24"/>
                <w:szCs w:val="24"/>
                <w:lang w:bidi="ar"/>
              </w:rPr>
            </w:pPr>
            <w:r>
              <w:rPr>
                <w:rStyle w:val="5"/>
                <w:rFonts w:hint="eastAsia" w:eastAsia="宋体"/>
                <w:color w:val="auto"/>
                <w:sz w:val="24"/>
                <w:szCs w:val="24"/>
                <w:lang w:val="en-US" w:eastAsia="zh-CN" w:bidi="ar"/>
              </w:rPr>
              <w:t>3</w:t>
            </w:r>
            <w:r>
              <w:rPr>
                <w:rStyle w:val="5"/>
                <w:color w:val="auto"/>
                <w:sz w:val="24"/>
                <w:szCs w:val="24"/>
                <w:lang w:bidi="ar"/>
              </w:rPr>
              <w:t>.具有较强</w:t>
            </w:r>
            <w:r>
              <w:rPr>
                <w:rStyle w:val="5"/>
                <w:rFonts w:hint="default"/>
                <w:color w:val="auto"/>
                <w:sz w:val="24"/>
                <w:szCs w:val="24"/>
                <w:lang w:bidi="ar"/>
              </w:rPr>
              <w:t>的</w:t>
            </w:r>
            <w:r>
              <w:rPr>
                <w:rStyle w:val="5"/>
                <w:color w:val="auto"/>
                <w:sz w:val="24"/>
                <w:szCs w:val="24"/>
                <w:lang w:bidi="ar"/>
              </w:rPr>
              <w:t>公文写作和沟通协调能力；</w:t>
            </w:r>
          </w:p>
          <w:p>
            <w:pPr>
              <w:pStyle w:val="2"/>
              <w:spacing w:line="300" w:lineRule="exact"/>
              <w:rPr>
                <w:rFonts w:hint="eastAsia" w:ascii="宋体" w:hAnsi="宋体" w:cs="宋体"/>
                <w:color w:val="auto"/>
                <w:sz w:val="24"/>
                <w:szCs w:val="24"/>
              </w:rPr>
            </w:pPr>
            <w:r>
              <w:rPr>
                <w:rStyle w:val="5"/>
                <w:rFonts w:hint="eastAsia" w:eastAsia="宋体"/>
                <w:color w:val="auto"/>
                <w:sz w:val="24"/>
                <w:szCs w:val="24"/>
                <w:lang w:val="en-US" w:eastAsia="zh-CN" w:bidi="ar"/>
              </w:rPr>
              <w:t>4</w:t>
            </w:r>
            <w:r>
              <w:rPr>
                <w:rStyle w:val="5"/>
                <w:color w:val="auto"/>
                <w:sz w:val="24"/>
                <w:szCs w:val="24"/>
                <w:lang w:bidi="ar"/>
              </w:rPr>
              <w:t>.具有高级会计师或注册会计师者</w:t>
            </w:r>
            <w:r>
              <w:rPr>
                <w:rStyle w:val="5"/>
                <w:rFonts w:eastAsia="宋体"/>
                <w:color w:val="auto"/>
                <w:sz w:val="24"/>
                <w:szCs w:val="24"/>
                <w:lang w:eastAsia="zh-CN" w:bidi="ar"/>
              </w:rPr>
              <w:t>年龄可放宽至</w:t>
            </w:r>
            <w:r>
              <w:rPr>
                <w:rStyle w:val="5"/>
                <w:rFonts w:hint="eastAsia" w:eastAsia="宋体"/>
                <w:color w:val="auto"/>
                <w:sz w:val="24"/>
                <w:szCs w:val="24"/>
                <w:lang w:val="en-US" w:eastAsia="zh-CN" w:bidi="ar"/>
              </w:rPr>
              <w:t>35周岁</w:t>
            </w:r>
            <w:r>
              <w:rPr>
                <w:rStyle w:val="5"/>
                <w:color w:val="auto"/>
                <w:sz w:val="24"/>
                <w:szCs w:val="24"/>
                <w:lang w:bidi="ar"/>
              </w:rPr>
              <w:t>。</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5" w:hRule="atLeast"/>
          <w:jc w:val="center"/>
        </w:trPr>
        <w:tc>
          <w:tcPr>
            <w:tcW w:w="5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6</w:t>
            </w:r>
          </w:p>
        </w:tc>
        <w:tc>
          <w:tcPr>
            <w:tcW w:w="1249" w:type="dxa"/>
            <w:tcBorders>
              <w:left w:val="single" w:color="auto" w:sz="4" w:space="0"/>
            </w:tcBorders>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eastAsia="zh-CN" w:bidi="ar"/>
              </w:rPr>
              <w:t>工程</w:t>
            </w:r>
            <w:r>
              <w:rPr>
                <w:rFonts w:hint="eastAsia" w:ascii="宋体" w:hAnsi="宋体" w:cs="宋体"/>
                <w:color w:val="auto"/>
                <w:kern w:val="0"/>
                <w:sz w:val="24"/>
                <w:szCs w:val="24"/>
                <w:lang w:bidi="ar"/>
              </w:rPr>
              <w:t>造价</w:t>
            </w:r>
          </w:p>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专干</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土木工程、工程管理、工程造价、建筑学</w:t>
            </w:r>
          </w:p>
        </w:tc>
        <w:tc>
          <w:tcPr>
            <w:tcW w:w="5656" w:type="dxa"/>
            <w:noWrap w:val="0"/>
            <w:tcMar>
              <w:top w:w="15" w:type="dxa"/>
              <w:left w:w="15" w:type="dxa"/>
              <w:right w:w="15" w:type="dxa"/>
            </w:tcMar>
            <w:vAlign w:val="center"/>
          </w:tcPr>
          <w:p>
            <w:pPr>
              <w:spacing w:line="300" w:lineRule="exact"/>
              <w:jc w:val="left"/>
              <w:textAlignment w:val="center"/>
              <w:rPr>
                <w:rFonts w:hint="eastAsia"/>
                <w:color w:val="auto"/>
                <w:sz w:val="24"/>
                <w:szCs w:val="24"/>
              </w:rPr>
            </w:pPr>
            <w:r>
              <w:rPr>
                <w:rFonts w:hint="eastAsia"/>
                <w:color w:val="auto"/>
                <w:sz w:val="24"/>
                <w:szCs w:val="24"/>
                <w:lang w:val="en-US" w:eastAsia="zh-CN"/>
              </w:rPr>
              <w:t>1</w:t>
            </w:r>
            <w:r>
              <w:rPr>
                <w:rFonts w:hint="eastAsia"/>
                <w:color w:val="auto"/>
                <w:sz w:val="24"/>
                <w:szCs w:val="24"/>
              </w:rPr>
              <w:t>.具有3年及以上工程造价审核工作经验，能独立完成房建、市政等项目预结算编制；</w:t>
            </w:r>
          </w:p>
          <w:p>
            <w:pPr>
              <w:spacing w:line="300" w:lineRule="exact"/>
              <w:jc w:val="left"/>
              <w:textAlignment w:val="center"/>
              <w:rPr>
                <w:rFonts w:hint="eastAsia" w:eastAsia="宋体"/>
                <w:color w:val="auto"/>
                <w:sz w:val="24"/>
                <w:szCs w:val="24"/>
                <w:lang w:eastAsia="zh-CN"/>
              </w:rPr>
            </w:pPr>
            <w:r>
              <w:rPr>
                <w:rFonts w:hint="eastAsia"/>
                <w:color w:val="auto"/>
                <w:sz w:val="24"/>
                <w:szCs w:val="24"/>
                <w:lang w:val="en-US" w:eastAsia="zh-CN"/>
              </w:rPr>
              <w:t>2.</w:t>
            </w:r>
            <w:r>
              <w:rPr>
                <w:rFonts w:hint="eastAsia"/>
                <w:color w:val="auto"/>
                <w:sz w:val="24"/>
                <w:szCs w:val="24"/>
              </w:rPr>
              <w:t>.熟练掌握智多星、纵横、广联达等造价软件；熟悉建筑法、招投标法等相关法律法规</w:t>
            </w:r>
            <w:r>
              <w:rPr>
                <w:rFonts w:hint="eastAsia"/>
                <w:color w:val="auto"/>
                <w:sz w:val="24"/>
                <w:szCs w:val="24"/>
                <w:lang w:eastAsia="zh-CN"/>
              </w:rPr>
              <w:t>；</w:t>
            </w:r>
          </w:p>
          <w:p>
            <w:pPr>
              <w:spacing w:line="30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.具有注册造价师证</w:t>
            </w:r>
            <w:r>
              <w:rPr>
                <w:rFonts w:hint="eastAsia" w:ascii="宋体" w:hAnsi="宋体" w:cs="宋体"/>
                <w:color w:val="auto"/>
                <w:kern w:val="0"/>
                <w:sz w:val="24"/>
                <w:szCs w:val="24"/>
                <w:lang w:eastAsia="zh-CN" w:bidi="ar"/>
              </w:rPr>
              <w:t>者优先。</w:t>
            </w:r>
          </w:p>
          <w:p>
            <w:pPr>
              <w:pStyle w:val="2"/>
              <w:rPr>
                <w:rFonts w:hint="eastAsia"/>
                <w:color w:val="auto"/>
                <w:sz w:val="24"/>
                <w:szCs w:val="24"/>
              </w:rPr>
            </w:pP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7" w:hRule="atLeast"/>
          <w:jc w:val="center"/>
        </w:trPr>
        <w:tc>
          <w:tcPr>
            <w:tcW w:w="548" w:type="dxa"/>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7</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市场拓展</w:t>
            </w:r>
          </w:p>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专干</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1.具有2年及以上产业园区或大中型国有企业资产运营开拓和管理相关工作经历；</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2.具有较强的公文写作和沟通协调能力；</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3.抗压能力强，能适应经常出差。</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6" w:hRule="atLeast"/>
          <w:jc w:val="center"/>
        </w:trPr>
        <w:tc>
          <w:tcPr>
            <w:tcW w:w="548" w:type="dxa"/>
            <w:noWrap/>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8</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资产收购</w:t>
            </w:r>
          </w:p>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专干</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35周岁以下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1.具有资产评估师或土地估价师或房地产估价师资格证； </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2.具有2年及以上资产评估管理相关工作经验；</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3.具有较强的公文写作和沟通协调能力；</w:t>
            </w:r>
          </w:p>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4.抗压能力强，能适应经常出差。</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3" w:hRule="atLeast"/>
          <w:jc w:val="center"/>
        </w:trPr>
        <w:tc>
          <w:tcPr>
            <w:tcW w:w="548" w:type="dxa"/>
            <w:noWrap/>
            <w:tcMar>
              <w:top w:w="15" w:type="dxa"/>
              <w:left w:w="15" w:type="dxa"/>
              <w:right w:w="15" w:type="dxa"/>
            </w:tcMar>
            <w:vAlign w:val="center"/>
          </w:tcPr>
          <w:p>
            <w:pPr>
              <w:spacing w:line="300" w:lineRule="exact"/>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招商与产业服务专干</w:t>
            </w:r>
          </w:p>
        </w:tc>
        <w:tc>
          <w:tcPr>
            <w:tcW w:w="772" w:type="dxa"/>
            <w:noWrap w:val="0"/>
            <w:tcMar>
              <w:top w:w="15" w:type="dxa"/>
              <w:left w:w="15" w:type="dxa"/>
              <w:right w:w="15" w:type="dxa"/>
            </w:tcMar>
            <w:vAlign w:val="center"/>
          </w:tcPr>
          <w:p>
            <w:pPr>
              <w:spacing w:line="300" w:lineRule="exact"/>
              <w:jc w:val="center"/>
              <w:textAlignment w:val="center"/>
              <w:rPr>
                <w:rFonts w:ascii="宋体" w:hAnsi="宋体" w:cs="宋体"/>
                <w:color w:val="auto"/>
                <w:sz w:val="24"/>
                <w:szCs w:val="24"/>
              </w:rPr>
            </w:pPr>
            <w:r>
              <w:rPr>
                <w:rFonts w:hint="eastAsia" w:ascii="宋体" w:hAnsi="宋体" w:cs="宋体"/>
                <w:color w:val="auto"/>
                <w:sz w:val="24"/>
                <w:szCs w:val="24"/>
              </w:rPr>
              <w:t>2</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经济和管理学大类</w:t>
            </w:r>
          </w:p>
        </w:tc>
        <w:tc>
          <w:tcPr>
            <w:tcW w:w="5656" w:type="dxa"/>
            <w:noWrap w:val="0"/>
            <w:tcMar>
              <w:top w:w="15" w:type="dxa"/>
              <w:left w:w="15" w:type="dxa"/>
              <w:right w:w="15" w:type="dxa"/>
            </w:tcMar>
            <w:vAlign w:val="center"/>
          </w:tcPr>
          <w:p>
            <w:pPr>
              <w:pStyle w:val="2"/>
              <w:spacing w:line="300" w:lineRule="exac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1.具有2年及以上工作经验； </w:t>
            </w:r>
          </w:p>
          <w:p>
            <w:pPr>
              <w:pStyle w:val="2"/>
              <w:spacing w:line="300" w:lineRule="exac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2.具有较强的公文写作和沟通协调能力；</w:t>
            </w:r>
          </w:p>
          <w:p>
            <w:pPr>
              <w:pStyle w:val="2"/>
              <w:spacing w:line="300" w:lineRule="exact"/>
              <w:rPr>
                <w:rFonts w:hint="eastAsia" w:ascii="宋体" w:hAnsi="宋体" w:cs="宋体"/>
                <w:color w:val="auto"/>
                <w:sz w:val="24"/>
                <w:szCs w:val="24"/>
              </w:rPr>
            </w:pPr>
            <w:r>
              <w:rPr>
                <w:rFonts w:hint="eastAsia" w:ascii="宋体" w:hAnsi="宋体" w:cs="宋体"/>
                <w:color w:val="auto"/>
                <w:kern w:val="0"/>
                <w:sz w:val="24"/>
                <w:szCs w:val="24"/>
                <w:lang w:bidi="ar"/>
              </w:rPr>
              <w:t>3.有园区招商引资、产业服务或资产管理经营相关工作经验者优先。</w:t>
            </w:r>
          </w:p>
        </w:tc>
        <w:tc>
          <w:tcPr>
            <w:tcW w:w="1072" w:type="dxa"/>
            <w:noWrap w:val="0"/>
            <w:tcMar>
              <w:top w:w="15" w:type="dxa"/>
              <w:left w:w="15" w:type="dxa"/>
              <w:right w:w="15" w:type="dxa"/>
            </w:tcMar>
            <w:vAlign w:val="center"/>
          </w:tcPr>
          <w:p>
            <w:pPr>
              <w:pStyle w:val="2"/>
              <w:spacing w:line="300" w:lineRule="exact"/>
              <w:jc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pStyle w:val="2"/>
              <w:spacing w:line="300" w:lineRule="exact"/>
              <w:jc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0" w:hRule="atLeast"/>
          <w:jc w:val="center"/>
        </w:trPr>
        <w:tc>
          <w:tcPr>
            <w:tcW w:w="548" w:type="dxa"/>
            <w:noWrap/>
            <w:tcMar>
              <w:top w:w="15" w:type="dxa"/>
              <w:left w:w="15" w:type="dxa"/>
              <w:right w:w="15" w:type="dxa"/>
            </w:tcMar>
            <w:vAlign w:val="center"/>
          </w:tcPr>
          <w:p>
            <w:pPr>
              <w:spacing w:line="30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249"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eastAsia="zh-CN" w:bidi="ar"/>
              </w:rPr>
              <w:t>项目</w:t>
            </w:r>
            <w:r>
              <w:rPr>
                <w:rFonts w:hint="eastAsia" w:ascii="宋体" w:hAnsi="宋体" w:cs="宋体"/>
                <w:color w:val="auto"/>
                <w:kern w:val="0"/>
                <w:sz w:val="24"/>
                <w:szCs w:val="24"/>
                <w:lang w:bidi="ar"/>
              </w:rPr>
              <w:t>现场</w:t>
            </w:r>
          </w:p>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管理专干</w:t>
            </w:r>
          </w:p>
        </w:tc>
        <w:tc>
          <w:tcPr>
            <w:tcW w:w="7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周岁以下</w:t>
            </w: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r>
              <w:rPr>
                <w:rFonts w:hint="eastAsia" w:ascii="宋体" w:hAnsi="宋体" w:cs="宋体"/>
                <w:color w:val="auto"/>
                <w:kern w:val="0"/>
                <w:sz w:val="24"/>
                <w:szCs w:val="24"/>
                <w:lang w:eastAsia="zh-CN" w:bidi="ar"/>
              </w:rPr>
              <w:t>及以上学历且获得相应学位</w:t>
            </w:r>
          </w:p>
        </w:tc>
        <w:tc>
          <w:tcPr>
            <w:tcW w:w="1605" w:type="dxa"/>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bidi="ar"/>
              </w:rPr>
              <w:t>工程管理、</w:t>
            </w:r>
            <w:r>
              <w:rPr>
                <w:rFonts w:hint="eastAsia" w:ascii="宋体" w:hAnsi="宋体" w:cs="宋体"/>
                <w:color w:val="auto"/>
                <w:kern w:val="0"/>
                <w:sz w:val="24"/>
                <w:szCs w:val="24"/>
                <w:lang w:eastAsia="zh-CN" w:bidi="ar"/>
              </w:rPr>
              <w:t>土建类</w:t>
            </w:r>
          </w:p>
        </w:tc>
        <w:tc>
          <w:tcPr>
            <w:tcW w:w="5656" w:type="dxa"/>
            <w:noWrap w:val="0"/>
            <w:tcMar>
              <w:top w:w="15" w:type="dxa"/>
              <w:left w:w="15" w:type="dxa"/>
              <w:right w:w="15" w:type="dxa"/>
            </w:tcMar>
            <w:vAlign w:val="center"/>
          </w:tcPr>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1.具有中级工程师及以上职称； </w:t>
            </w:r>
          </w:p>
          <w:p>
            <w:pPr>
              <w:spacing w:line="3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2.具有3年及以上项目工程现场管理相关工作经验；</w:t>
            </w:r>
          </w:p>
          <w:p>
            <w:pPr>
              <w:spacing w:line="3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3.具有高级职称或一级建造师执业资格者</w:t>
            </w:r>
            <w:r>
              <w:rPr>
                <w:rFonts w:hint="eastAsia" w:ascii="宋体" w:hAnsi="宋体" w:cs="宋体"/>
                <w:color w:val="auto"/>
                <w:kern w:val="0"/>
                <w:sz w:val="24"/>
                <w:szCs w:val="24"/>
                <w:lang w:eastAsia="zh-CN" w:bidi="ar"/>
              </w:rPr>
              <w:t>年龄可放宽至</w:t>
            </w:r>
            <w:r>
              <w:rPr>
                <w:rFonts w:hint="eastAsia" w:ascii="宋体" w:hAnsi="宋体" w:cs="宋体"/>
                <w:color w:val="auto"/>
                <w:kern w:val="0"/>
                <w:sz w:val="24"/>
                <w:szCs w:val="24"/>
                <w:lang w:val="en-US" w:eastAsia="zh-CN" w:bidi="ar"/>
              </w:rPr>
              <w:t>35周岁</w:t>
            </w:r>
            <w:r>
              <w:rPr>
                <w:rFonts w:hint="eastAsia" w:ascii="宋体" w:hAnsi="宋体" w:cs="宋体"/>
                <w:color w:val="auto"/>
                <w:kern w:val="0"/>
                <w:sz w:val="24"/>
                <w:szCs w:val="24"/>
                <w:lang w:bidi="ar"/>
              </w:rPr>
              <w:t>。</w:t>
            </w:r>
          </w:p>
        </w:tc>
        <w:tc>
          <w:tcPr>
            <w:tcW w:w="1072"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5年</w:t>
            </w:r>
          </w:p>
        </w:tc>
        <w:tc>
          <w:tcPr>
            <w:tcW w:w="1157" w:type="dxa"/>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该岗位适合男性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548" w:type="dxa"/>
            <w:noWrap/>
            <w:tcMar>
              <w:top w:w="15" w:type="dxa"/>
              <w:left w:w="15" w:type="dxa"/>
              <w:right w:w="15" w:type="dxa"/>
            </w:tcMar>
            <w:vAlign w:val="center"/>
          </w:tcPr>
          <w:p>
            <w:pPr>
              <w:spacing w:line="300" w:lineRule="exact"/>
              <w:jc w:val="center"/>
              <w:rPr>
                <w:rFonts w:hint="eastAsia" w:ascii="宋体" w:hAnsi="宋体" w:cs="宋体"/>
                <w:color w:val="auto"/>
                <w:sz w:val="24"/>
                <w:szCs w:val="24"/>
              </w:rPr>
            </w:pPr>
            <w:r>
              <w:rPr>
                <w:rFonts w:hint="eastAsia" w:ascii="宋体" w:hAnsi="宋体" w:cs="宋体"/>
                <w:color w:val="auto"/>
                <w:sz w:val="24"/>
                <w:szCs w:val="24"/>
              </w:rPr>
              <w:t>合计</w:t>
            </w:r>
          </w:p>
        </w:tc>
        <w:tc>
          <w:tcPr>
            <w:tcW w:w="1249" w:type="dxa"/>
            <w:noWrap w:val="0"/>
            <w:tcMar>
              <w:top w:w="15" w:type="dxa"/>
              <w:left w:w="15" w:type="dxa"/>
              <w:right w:w="15" w:type="dxa"/>
            </w:tcMar>
            <w:vAlign w:val="center"/>
          </w:tcPr>
          <w:p>
            <w:pPr>
              <w:spacing w:line="300" w:lineRule="exact"/>
              <w:jc w:val="center"/>
              <w:rPr>
                <w:rFonts w:hint="eastAsia" w:ascii="宋体" w:hAnsi="宋体" w:cs="宋体"/>
                <w:color w:val="auto"/>
                <w:sz w:val="24"/>
                <w:szCs w:val="24"/>
              </w:rPr>
            </w:pPr>
          </w:p>
        </w:tc>
        <w:tc>
          <w:tcPr>
            <w:tcW w:w="772" w:type="dxa"/>
            <w:noWrap w:val="0"/>
            <w:tcMar>
              <w:top w:w="15" w:type="dxa"/>
              <w:left w:w="15" w:type="dxa"/>
              <w:right w:w="15" w:type="dxa"/>
            </w:tcMar>
            <w:vAlign w:val="center"/>
          </w:tcPr>
          <w:p>
            <w:pPr>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19</w:t>
            </w:r>
          </w:p>
        </w:tc>
        <w:tc>
          <w:tcPr>
            <w:tcW w:w="815"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c>
          <w:tcPr>
            <w:tcW w:w="1101" w:type="dxa"/>
            <w:noWrap w:val="0"/>
            <w:tcMar>
              <w:top w:w="15" w:type="dxa"/>
              <w:left w:w="15" w:type="dxa"/>
              <w:right w:w="15" w:type="dxa"/>
            </w:tcMar>
            <w:vAlign w:val="center"/>
          </w:tcPr>
          <w:p>
            <w:pPr>
              <w:spacing w:line="300" w:lineRule="exact"/>
              <w:jc w:val="center"/>
              <w:textAlignment w:val="center"/>
              <w:rPr>
                <w:rFonts w:hint="eastAsia" w:ascii="宋体" w:hAnsi="宋体" w:cs="宋体"/>
                <w:color w:val="auto"/>
                <w:kern w:val="0"/>
                <w:sz w:val="24"/>
                <w:szCs w:val="24"/>
                <w:lang w:bidi="ar"/>
              </w:rPr>
            </w:pPr>
          </w:p>
        </w:tc>
        <w:tc>
          <w:tcPr>
            <w:tcW w:w="1605" w:type="dxa"/>
            <w:noWrap w:val="0"/>
            <w:tcMar>
              <w:top w:w="15" w:type="dxa"/>
              <w:left w:w="15" w:type="dxa"/>
              <w:right w:w="15" w:type="dxa"/>
            </w:tcMar>
            <w:vAlign w:val="center"/>
          </w:tcPr>
          <w:p>
            <w:pPr>
              <w:spacing w:line="300" w:lineRule="exact"/>
              <w:jc w:val="center"/>
              <w:rPr>
                <w:rFonts w:hint="eastAsia" w:ascii="宋体" w:hAnsi="宋体" w:cs="宋体"/>
                <w:color w:val="auto"/>
                <w:sz w:val="24"/>
                <w:szCs w:val="24"/>
              </w:rPr>
            </w:pPr>
          </w:p>
        </w:tc>
        <w:tc>
          <w:tcPr>
            <w:tcW w:w="5656" w:type="dxa"/>
            <w:noWrap w:val="0"/>
            <w:tcMar>
              <w:top w:w="15" w:type="dxa"/>
              <w:left w:w="15" w:type="dxa"/>
              <w:right w:w="15" w:type="dxa"/>
            </w:tcMar>
            <w:vAlign w:val="center"/>
          </w:tcPr>
          <w:p>
            <w:pPr>
              <w:spacing w:line="300" w:lineRule="exact"/>
              <w:rPr>
                <w:rFonts w:hint="eastAsia" w:ascii="宋体" w:hAnsi="宋体" w:cs="宋体"/>
                <w:color w:val="auto"/>
                <w:sz w:val="24"/>
                <w:szCs w:val="24"/>
              </w:rPr>
            </w:pPr>
          </w:p>
        </w:tc>
        <w:tc>
          <w:tcPr>
            <w:tcW w:w="1072" w:type="dxa"/>
            <w:noWrap w:val="0"/>
            <w:tcMar>
              <w:top w:w="15" w:type="dxa"/>
              <w:left w:w="15" w:type="dxa"/>
              <w:right w:w="15" w:type="dxa"/>
            </w:tcMar>
            <w:vAlign w:val="center"/>
          </w:tcPr>
          <w:p>
            <w:pPr>
              <w:spacing w:line="300" w:lineRule="exact"/>
              <w:rPr>
                <w:rFonts w:hint="eastAsia" w:ascii="宋体" w:hAnsi="宋体" w:cs="宋体"/>
                <w:color w:val="auto"/>
                <w:sz w:val="24"/>
                <w:szCs w:val="24"/>
              </w:rPr>
            </w:pPr>
          </w:p>
        </w:tc>
        <w:tc>
          <w:tcPr>
            <w:tcW w:w="1157" w:type="dxa"/>
            <w:noWrap w:val="0"/>
            <w:tcMar>
              <w:top w:w="15" w:type="dxa"/>
              <w:left w:w="15" w:type="dxa"/>
              <w:right w:w="15" w:type="dxa"/>
            </w:tcMar>
            <w:vAlign w:val="center"/>
          </w:tcPr>
          <w:p>
            <w:pPr>
              <w:spacing w:line="300" w:lineRule="exact"/>
              <w:rPr>
                <w:rFonts w:hint="eastAsia" w:ascii="宋体" w:hAnsi="宋体" w:cs="宋体"/>
                <w:color w:val="auto"/>
                <w:sz w:val="24"/>
                <w:szCs w:val="24"/>
              </w:rPr>
            </w:pP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55EAA"/>
    <w:rsid w:val="48955EAA"/>
    <w:rsid w:val="7646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1"/>
    <w:basedOn w:val="4"/>
    <w:uiPriority w:val="0"/>
    <w:rPr>
      <w:rFonts w:hint="eastAsia" w:ascii="宋体" w:hAnsi="宋体" w:eastAsia="宋体" w:cs="宋体"/>
      <w:color w:val="FF0000"/>
      <w:sz w:val="24"/>
      <w:szCs w:val="24"/>
      <w:u w:val="none"/>
    </w:rPr>
  </w:style>
  <w:style w:type="character" w:customStyle="1" w:styleId="7">
    <w:name w:val="font4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2022-03-10T08:50:00Z</dcterms:created>
  <dc:creator>闪闪大白牙</dc:creator>
  <cp:lastModifiedBy>闪闪大白牙</cp:lastModifiedBy>
  <dcterms:modified xsi:type="dcterms:W3CDTF">2022-03-10T08:51:15Z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18BEA935D6044430AFA55AD09FAE4E75</vt:lpwstr>
  </property>
</Properties>
</file>