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eastAsia="方正小标宋简体"/>
          <w:bCs/>
          <w:sz w:val="44"/>
          <w:szCs w:val="44"/>
        </w:rPr>
      </w:pPr>
    </w:p>
    <w:p>
      <w:pPr>
        <w:spacing w:line="560" w:lineRule="exact"/>
        <w:jc w:val="center"/>
        <w:rPr>
          <w:rFonts w:hint="eastAsia" w:ascii="楷体_GB2312" w:hAnsi="方正小标宋简体" w:eastAsia="楷体_GB2312" w:cs="方正小标宋简体"/>
          <w:sz w:val="44"/>
          <w:szCs w:val="44"/>
          <w:lang w:eastAsia="zh-CN"/>
        </w:rPr>
      </w:pPr>
      <w:r>
        <w:rPr>
          <w:rFonts w:hint="eastAsia" w:ascii="方正小标宋简体" w:eastAsia="方正小标宋简体"/>
          <w:bCs/>
          <w:sz w:val="44"/>
          <w:szCs w:val="44"/>
        </w:rPr>
        <w:t>毕节市民政</w:t>
      </w:r>
      <w:r>
        <w:rPr>
          <w:rFonts w:hint="eastAsia" w:ascii="方正小标宋简体" w:hAnsi="宋体" w:eastAsia="方正小标宋简体" w:cs="宋体"/>
          <w:bCs/>
          <w:sz w:val="44"/>
          <w:szCs w:val="44"/>
        </w:rPr>
        <w:t>局下属事业单位</w:t>
      </w:r>
      <w:r>
        <w:rPr>
          <w:rFonts w:hint="eastAsia" w:ascii="方正小标宋简体" w:eastAsia="方正小标宋简体"/>
          <w:bCs/>
          <w:sz w:val="44"/>
          <w:szCs w:val="44"/>
        </w:rPr>
        <w:t>2021年第二批“人才强市”暨高层次急需紧缺人才引进面试</w:t>
      </w:r>
      <w:r>
        <w:rPr>
          <w:rFonts w:hint="eastAsia" w:ascii="方正小标宋简体" w:hAnsi="方正小标宋简体" w:eastAsia="方正小标宋简体" w:cs="方正小标宋简体"/>
          <w:sz w:val="44"/>
          <w:szCs w:val="44"/>
        </w:rPr>
        <w:t>新冠疫情防控实施方案</w:t>
      </w:r>
      <w:bookmarkStart w:id="0" w:name="_GoBack"/>
      <w:bookmarkEnd w:id="0"/>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我单位拟于2022年4月9日开展下属事业单位2021年第二批“人才强市”暨高层次急需紧缺人才引进面试工作，为做好面试新冠肺炎疫情防控工作，根据国务院、省、市应对新冠肺炎疫情防控领导小组近期发布的新冠肺炎疫情防控工作有关要求，确保面试期间</w:t>
      </w:r>
      <w:r>
        <w:rPr>
          <w:rFonts w:ascii="Times New Roman" w:hAnsi="Times New Roman" w:eastAsia="仿宋_GB2312" w:cs="Times New Roman"/>
          <w:sz w:val="32"/>
          <w:szCs w:val="32"/>
        </w:rPr>
        <w:t>疫情防控</w:t>
      </w:r>
      <w:r>
        <w:rPr>
          <w:rFonts w:hint="eastAsia" w:ascii="Times New Roman" w:hAnsi="Times New Roman" w:eastAsia="仿宋_GB2312" w:cs="Times New Roman"/>
          <w:sz w:val="32"/>
          <w:szCs w:val="32"/>
        </w:rPr>
        <w:t>责任压实到人、措施落实</w:t>
      </w:r>
      <w:r>
        <w:rPr>
          <w:rFonts w:ascii="Times New Roman" w:hAnsi="Times New Roman" w:eastAsia="仿宋_GB2312" w:cs="Times New Roman"/>
          <w:sz w:val="32"/>
          <w:szCs w:val="32"/>
        </w:rPr>
        <w:t>到位，</w:t>
      </w:r>
      <w:r>
        <w:rPr>
          <w:rFonts w:ascii="Times New Roman" w:hAnsi="Times New Roman" w:eastAsia="仿宋_GB2312" w:cs="Times New Roman"/>
          <w:kern w:val="0"/>
          <w:sz w:val="32"/>
          <w:szCs w:val="32"/>
        </w:rPr>
        <w:t>特制</w:t>
      </w:r>
      <w:r>
        <w:rPr>
          <w:rFonts w:hint="eastAsia" w:ascii="Times New Roman" w:hAnsi="Times New Roman" w:eastAsia="仿宋_GB2312" w:cs="Times New Roman"/>
          <w:kern w:val="0"/>
          <w:sz w:val="32"/>
          <w:szCs w:val="32"/>
        </w:rPr>
        <w:t>定本方案</w:t>
      </w:r>
      <w:r>
        <w:rPr>
          <w:rFonts w:ascii="Times New Roman" w:hAnsi="Times New Roman" w:eastAsia="仿宋_GB2312" w:cs="Times New Roman"/>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坚决贯彻执行党中央国务院决策部署和省委省政府、市委市政府工作要求，切实落实好常态化疫情防控工作，在抓紧抓实抓细常态化疫情防控各项工作同时，认真组织好面试期间疫情防控工作，</w:t>
      </w:r>
      <w:r>
        <w:rPr>
          <w:rFonts w:hint="eastAsia" w:ascii="仿宋_GB2312" w:hAnsi="仿宋_GB2312" w:eastAsia="仿宋_GB2312" w:cs="仿宋_GB2312"/>
          <w:color w:val="000000" w:themeColor="text1"/>
          <w:sz w:val="32"/>
          <w:szCs w:val="32"/>
        </w:rPr>
        <w:t>如遇疫情防控突发紧急情况，面试根据实际情况予以延期。</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rPr>
        <w:t>谁组织、</w:t>
      </w:r>
      <w:r>
        <w:rPr>
          <w:rFonts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举办</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负责</w:t>
      </w:r>
      <w:r>
        <w:rPr>
          <w:rFonts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rPr>
        <w:t>参会人员/考生、会/</w:t>
      </w:r>
      <w:r>
        <w:rPr>
          <w:rFonts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rPr>
        <w:t>，安全有序组织好会议</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参加面试考生34人、考务工作人员（含考官）30人，合计64人。</w:t>
      </w:r>
      <w:r>
        <w:rPr>
          <w:rFonts w:ascii="Times New Roman" w:hAnsi="Times New Roman" w:eastAsia="仿宋_GB2312" w:cs="Times New Roman"/>
          <w:kern w:val="0"/>
          <w:sz w:val="32"/>
          <w:szCs w:val="32"/>
        </w:rPr>
        <w:t>对考生、考务工作人员开展健康监测等工作，做到应查尽查、不漏</w:t>
      </w:r>
      <w:r>
        <w:rPr>
          <w:rFonts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rPr>
        <w:t>加面试</w:t>
      </w:r>
      <w:r>
        <w:rPr>
          <w:rFonts w:ascii="Times New Roman" w:hAnsi="Times New Roman" w:eastAsia="仿宋_GB2312" w:cs="Times New Roman"/>
          <w:sz w:val="32"/>
          <w:szCs w:val="32"/>
        </w:rPr>
        <w:t>和考务工作。</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（一）面试前疫情防控要求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1.不能参加面试人员和不能参加考务工作人员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（1）面试前28天内中、高风险地区返回人员、境外返回人员。</w:t>
      </w:r>
    </w:p>
    <w:p>
      <w:pPr>
        <w:adjustRightInd w:val="0"/>
        <w:snapToGrid w:val="0"/>
        <w:spacing w:line="560" w:lineRule="exact"/>
        <w:ind w:firstLine="640" w:firstLineChars="200"/>
        <w:rPr>
          <w:rFonts w:ascii="仿宋_GB2312" w:hAnsi="楷体_GB2312" w:eastAsia="仿宋_GB2312" w:cs="楷体_GB2312"/>
          <w:color w:val="000000"/>
          <w:kern w:val="0"/>
          <w:sz w:val="32"/>
          <w:szCs w:val="32"/>
        </w:rPr>
      </w:pPr>
      <w:r>
        <w:rPr>
          <w:rFonts w:hint="eastAsia" w:ascii="仿宋_GB2312" w:hAnsi="仿宋_GB2312" w:eastAsia="仿宋_GB2312" w:cs="仿宋_GB2312"/>
          <w:sz w:val="32"/>
          <w:szCs w:val="32"/>
        </w:rPr>
        <w:t>（2）面试前14天内有本土阳性感染者报告市（州）低风险地区返回人员原则上不能参面试。确须参加的面试的考生，面试当日须有“三天两检”核酸检测阴性证明。</w:t>
      </w:r>
      <w:r>
        <w:rPr>
          <w:rFonts w:hint="eastAsia" w:ascii="仿宋_GB2312" w:hAnsi="楷体_GB2312" w:eastAsia="仿宋_GB2312" w:cs="楷体_GB2312"/>
          <w:color w:val="000000"/>
          <w:kern w:val="0"/>
          <w:sz w:val="32"/>
          <w:szCs w:val="32"/>
        </w:rPr>
        <w:t>有本土阳性感染者报告市（州）低风险地区旅居史人员不能参加考务工作。</w:t>
      </w:r>
    </w:p>
    <w:p>
      <w:pPr>
        <w:adjustRightInd w:val="0"/>
        <w:snapToGrid w:val="0"/>
        <w:spacing w:line="560" w:lineRule="exact"/>
        <w:ind w:firstLine="640" w:firstLineChars="200"/>
        <w:rPr>
          <w:rFonts w:ascii="仿宋_GB2312" w:hAnsi="楷体_GB2312" w:eastAsia="仿宋_GB2312" w:cs="楷体_GB2312"/>
          <w:color w:val="000000"/>
          <w:kern w:val="0"/>
          <w:sz w:val="32"/>
          <w:szCs w:val="32"/>
        </w:rPr>
      </w:pPr>
      <w:r>
        <w:rPr>
          <w:rFonts w:hint="eastAsia" w:ascii="仿宋_GB2312" w:hAnsi="仿宋_GB2312" w:eastAsia="仿宋_GB2312" w:cs="仿宋_GB2312"/>
          <w:sz w:val="32"/>
          <w:szCs w:val="32"/>
        </w:rPr>
        <w:t>“三天两检”具体措施见2022年2月24日“贵州改革”微信公众号发布文章《贵州省“三天两检”健康监测措施解读》。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（3）仍处于康复或隔离期的确诊病例、无症状感染者。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（4）仍处于医学隔离期或观察期的密切接触者和次密切接触者。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（5）与阳性感染者同乘交通工具或活动轨迹有交集的人员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（6）自接到通知起，如有出现体温高于37.3℃、乏力、咳嗽、腹泻、呕吐、嗅觉或味觉减退等症状，未排除传染病的人员。</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2.面试前健康监测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参加面试人员、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比赛和会务工作。</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3.流行病学史排查</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（1）所有参加面试人员及工作</w:t>
      </w:r>
      <w:r>
        <w:rPr>
          <w:rFonts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（见附件），《个人防疫情况申报表》须在报到时全部审核完毕，审核不合格人员原则上不再参加</w:t>
      </w:r>
      <w:r>
        <w:rPr>
          <w:rFonts w:hint="eastAsia" w:ascii="Times New Roman" w:hAnsi="Times New Roman" w:eastAsia="仿宋_GB2312" w:cs="Times New Roman"/>
          <w:kern w:val="0"/>
          <w:sz w:val="32"/>
          <w:szCs w:val="32"/>
        </w:rPr>
        <w:t>面试</w:t>
      </w:r>
      <w:r>
        <w:rPr>
          <w:rFonts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rPr>
        <w:t>考</w:t>
      </w:r>
      <w:r>
        <w:rPr>
          <w:rFonts w:ascii="Times New Roman" w:hAnsi="Times New Roman" w:eastAsia="仿宋_GB2312" w:cs="Times New Roman"/>
          <w:kern w:val="0"/>
          <w:sz w:val="32"/>
          <w:szCs w:val="32"/>
        </w:rPr>
        <w:t>务工作。</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所有参</w:t>
      </w:r>
      <w:r>
        <w:rPr>
          <w:rFonts w:hint="eastAsia" w:ascii="Times New Roman" w:hAnsi="Times New Roman" w:eastAsia="仿宋_GB2312" w:cs="Times New Roman"/>
          <w:kern w:val="0"/>
          <w:sz w:val="32"/>
          <w:szCs w:val="32"/>
        </w:rPr>
        <w:t>加面试</w:t>
      </w:r>
      <w:r>
        <w:rPr>
          <w:rFonts w:ascii="Times New Roman" w:hAnsi="Times New Roman" w:eastAsia="仿宋_GB2312" w:cs="Times New Roman"/>
          <w:kern w:val="0"/>
          <w:sz w:val="32"/>
          <w:szCs w:val="32"/>
        </w:rPr>
        <w:t>人员及工作人员进入</w:t>
      </w:r>
      <w:r>
        <w:rPr>
          <w:rFonts w:hint="eastAsia" w:ascii="Times New Roman" w:hAnsi="Times New Roman" w:eastAsia="仿宋_GB2312" w:cs="Times New Roman"/>
          <w:kern w:val="0"/>
          <w:sz w:val="32"/>
          <w:szCs w:val="32"/>
        </w:rPr>
        <w:t>考</w:t>
      </w:r>
      <w:r>
        <w:rPr>
          <w:rFonts w:ascii="Times New Roman" w:hAnsi="Times New Roman" w:eastAsia="仿宋_GB2312" w:cs="Times New Roman"/>
          <w:kern w:val="0"/>
          <w:sz w:val="32"/>
          <w:szCs w:val="32"/>
        </w:rPr>
        <w:t>场前，须进行</w:t>
      </w:r>
      <w:r>
        <w:rPr>
          <w:rFonts w:hint="eastAsia" w:ascii="Times New Roman" w:hAnsi="Times New Roman" w:eastAsia="仿宋_GB2312" w:cs="Times New Roman"/>
          <w:kern w:val="0"/>
          <w:sz w:val="32"/>
          <w:szCs w:val="32"/>
        </w:rPr>
        <w:t>“贵州健康码”、“通信大数据行程卡”和“疫苗接种标识”（以下简称“三码”）</w:t>
      </w:r>
      <w:r>
        <w:rPr>
          <w:rFonts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rPr>
        <w:t>检测</w:t>
      </w:r>
      <w:r>
        <w:rPr>
          <w:rFonts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rPr>
        <w:t>低</w:t>
      </w:r>
      <w:r>
        <w:rPr>
          <w:rFonts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方能进入。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4.核酸检测</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color w:val="000000" w:themeColor="text1"/>
          <w:kern w:val="0"/>
          <w:sz w:val="32"/>
          <w:szCs w:val="32"/>
        </w:rPr>
        <w:t>按照《关于进一步加强新冠肺炎疫情防控工作的通知》（黔府办发电〔2021〕163号）要求，本次面试不安排集体用餐，可不要求参加面试的考生和考务工作人员提供报到前48小时内核酸检测阴性证明。</w:t>
      </w: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Times New Roman" w:hAnsi="Times New Roman" w:eastAsia="仿宋_GB2312" w:cs="Times New Roman"/>
          <w:color w:val="000000" w:themeColor="text1"/>
          <w:kern w:val="0"/>
          <w:sz w:val="32"/>
          <w:szCs w:val="32"/>
        </w:rPr>
        <w:t>（2）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考点。</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5.会前疫苗接种</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应接尽接”要求，所有参加面试考生、考务工作人员符合接种条件的须在面试前进行新冠病毒疫苗全程接种（如已具备加强针接种条件，需完成加强针接种），尚未完成接种的适龄无禁忌症人员，原则上不安排参加面试及考务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6.日常防护措施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所有</w:t>
      </w:r>
      <w:r>
        <w:rPr>
          <w:rFonts w:hint="eastAsia" w:ascii="Times New Roman" w:hAnsi="Times New Roman" w:eastAsia="仿宋_GB2312" w:cs="Times New Roman"/>
          <w:sz w:val="32"/>
          <w:szCs w:val="32"/>
        </w:rPr>
        <w:t>考生</w:t>
      </w:r>
      <w:r>
        <w:rPr>
          <w:rFonts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rPr>
        <w:t>考务</w:t>
      </w:r>
      <w:r>
        <w:rPr>
          <w:rFonts w:ascii="Times New Roman" w:hAnsi="Times New Roman" w:eastAsia="仿宋_GB2312" w:cs="Times New Roman"/>
          <w:kern w:val="0"/>
          <w:sz w:val="32"/>
          <w:szCs w:val="32"/>
        </w:rPr>
        <w:t>工作人员</w:t>
      </w:r>
      <w:r>
        <w:rPr>
          <w:rFonts w:ascii="Times New Roman" w:hAnsi="Times New Roman" w:eastAsia="仿宋_GB2312" w:cs="Times New Roman"/>
          <w:sz w:val="32"/>
          <w:szCs w:val="32"/>
        </w:rPr>
        <w:t>乘坐公共交通工具前往</w:t>
      </w:r>
      <w:r>
        <w:rPr>
          <w:rFonts w:hint="eastAsia" w:ascii="Times New Roman" w:hAnsi="Times New Roman" w:eastAsia="仿宋_GB2312" w:cs="Times New Roman"/>
          <w:sz w:val="32"/>
          <w:szCs w:val="32"/>
        </w:rPr>
        <w:t>面试考点</w:t>
      </w:r>
      <w:r>
        <w:rPr>
          <w:rFonts w:ascii="Times New Roman" w:hAnsi="Times New Roman" w:eastAsia="仿宋_GB2312" w:cs="Times New Roman"/>
          <w:sz w:val="32"/>
          <w:szCs w:val="32"/>
        </w:rPr>
        <w:t>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w:t>
      </w:r>
      <w:r>
        <w:rPr>
          <w:rFonts w:ascii="楷体_GB2312" w:hAnsi="楷体_GB2312" w:eastAsia="楷体_GB2312" w:cs="楷体_GB2312"/>
          <w:color w:val="000000"/>
          <w:kern w:val="0"/>
          <w:sz w:val="32"/>
          <w:szCs w:val="32"/>
        </w:rPr>
        <w:t>考生管理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所有考生应根据当前防控要求做好相应准备，确保</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（含资格确认、</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、体检，下同）当天能顺利参加，因不符合防控要求不能参加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的考生自行承担后果。</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考生在</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当日</w:t>
      </w:r>
      <w:r>
        <w:rPr>
          <w:rFonts w:hint="eastAsia" w:ascii="Times New Roman" w:hAnsi="Times New Roman" w:eastAsia="仿宋_GB2312" w:cs="Times New Roman"/>
          <w:sz w:val="32"/>
          <w:szCs w:val="32"/>
        </w:rPr>
        <w:t>上午7:00</w:t>
      </w:r>
      <w:r>
        <w:rPr>
          <w:rFonts w:ascii="Times New Roman" w:hAnsi="Times New Roman" w:eastAsia="仿宋_GB2312" w:cs="Times New Roman"/>
          <w:sz w:val="32"/>
          <w:szCs w:val="32"/>
        </w:rPr>
        <w:t>开始接受检测进入考点，凭《</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rPr>
        <w:t>7:50</w:t>
      </w:r>
      <w:r>
        <w:rPr>
          <w:rFonts w:ascii="Times New Roman" w:hAnsi="Times New Roman" w:eastAsia="仿宋_GB2312" w:cs="Times New Roman"/>
          <w:sz w:val="32"/>
          <w:szCs w:val="32"/>
        </w:rPr>
        <w:t>仍未到达</w:t>
      </w:r>
      <w:r>
        <w:rPr>
          <w:rFonts w:hint="eastAsia" w:ascii="Times New Roman" w:hAnsi="Times New Roman" w:eastAsia="仿宋_GB2312" w:cs="Times New Roman"/>
          <w:sz w:val="32"/>
          <w:szCs w:val="32"/>
        </w:rPr>
        <w:t>候</w:t>
      </w:r>
      <w:r>
        <w:rPr>
          <w:rFonts w:ascii="Times New Roman" w:hAnsi="Times New Roman" w:eastAsia="仿宋_GB2312" w:cs="Times New Roman"/>
          <w:sz w:val="32"/>
          <w:szCs w:val="32"/>
        </w:rPr>
        <w:t>考室的</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人员视为自动弃权，责任自负。考生应尽早到达考点，在考点入场检测处，要提前调出当天本人“</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”，做好入场扫码和体温检测准备，确保入场时间充足、秩序良好。</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3.面试</w:t>
      </w:r>
      <w:r>
        <w:rPr>
          <w:rFonts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考生须严格遵守贵州省新冠肺炎常态化防控相关要求，因不遵守疫情防控规定造成的一切后果由考生自负。</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w:t>
      </w:r>
      <w:r>
        <w:rPr>
          <w:rFonts w:ascii="楷体_GB2312" w:hAnsi="楷体_GB2312" w:eastAsia="楷体_GB2312" w:cs="楷体_GB2312"/>
          <w:color w:val="000000"/>
          <w:kern w:val="0"/>
          <w:sz w:val="32"/>
          <w:szCs w:val="32"/>
        </w:rPr>
        <w:t>应急管理</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1.入场监测时有关情况处置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（1）面试</w:t>
      </w:r>
      <w:r>
        <w:rPr>
          <w:rFonts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扫码不合格</w:t>
      </w:r>
      <w:r>
        <w:rPr>
          <w:rFonts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资格。考生拒绝签字的，须由现场2名以上处置人员共同签字确认。</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（2）面试</w:t>
      </w:r>
      <w:r>
        <w:rPr>
          <w:rFonts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扫码合格</w:t>
      </w:r>
      <w:r>
        <w:rPr>
          <w:rFonts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，考生仍拒绝签字的，由现场2名以上处置人员共同签字确认。</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2.面试</w:t>
      </w:r>
      <w:r>
        <w:rPr>
          <w:rFonts w:ascii="仿宋_GB2312" w:hAnsi="仿宋_GB2312" w:eastAsia="仿宋_GB2312" w:cs="仿宋_GB2312"/>
          <w:b/>
          <w:sz w:val="32"/>
          <w:szCs w:val="32"/>
        </w:rPr>
        <w:t>过程中有关情况处理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安排。</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其他紧急情况处置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的考生，现场工作人员要根据实际情况对现场其它考生做好解释工作。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的考生，须协助卫生健康部门按防疫要求做好相关人员的追踪管理。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、工作保障</w:t>
      </w:r>
    </w:p>
    <w:p>
      <w:pPr>
        <w:pStyle w:val="6"/>
        <w:widowControl/>
        <w:snapToGrid w:val="0"/>
        <w:spacing w:line="560" w:lineRule="exact"/>
        <w:ind w:firstLine="640" w:firstLine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（一）加强组织领导</w:t>
      </w:r>
    </w:p>
    <w:p>
      <w:pPr>
        <w:pStyle w:val="6"/>
        <w:widowControl/>
        <w:snapToGrid w:val="0"/>
        <w:spacing w:line="560" w:lineRule="exact"/>
        <w:ind w:firstLine="640" w:firstLineChars="200"/>
        <w:jc w:val="both"/>
        <w:rPr>
          <w:rFonts w:ascii="仿宋_GB2312" w:hAnsi="仿宋_GB2312" w:eastAsia="仿宋_GB2312" w:cs="仿宋_GB2312"/>
          <w:sz w:val="32"/>
          <w:szCs w:val="32"/>
        </w:rPr>
      </w:pPr>
      <w:r>
        <w:rPr>
          <w:rFonts w:ascii="Times New Roman" w:hAnsi="Times New Roman" w:eastAsia="仿宋_GB2312"/>
          <w:color w:val="000000"/>
          <w:sz w:val="32"/>
          <w:szCs w:val="32"/>
        </w:rPr>
        <w:t>为有效防控新型冠状病毒传播，保障新冠疫情期间工作顺利进行，</w:t>
      </w:r>
      <w:r>
        <w:rPr>
          <w:rFonts w:ascii="Times New Roman" w:hAnsi="Times New Roman" w:eastAsia="仿宋_GB2312"/>
          <w:sz w:val="32"/>
          <w:szCs w:val="32"/>
        </w:rPr>
        <w:t>成立</w:t>
      </w:r>
      <w:r>
        <w:rPr>
          <w:rFonts w:hint="eastAsia" w:eastAsia="仿宋_GB2312"/>
          <w:sz w:val="32"/>
          <w:szCs w:val="32"/>
        </w:rPr>
        <w:t>毕节市民政局下属事业单位2021年第二批“人才强市”暨高层次急需紧缺人才引进面试疫情防控领导小组。</w:t>
      </w:r>
    </w:p>
    <w:p>
      <w:pPr>
        <w:pStyle w:val="2"/>
        <w:snapToGrid w:val="0"/>
        <w:spacing w:before="0" w:after="0"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（二）抓好防控责任落实</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2.做好物资保障。</w:t>
      </w:r>
      <w:r>
        <w:rPr>
          <w:rFonts w:ascii="Times New Roman" w:hAnsi="Times New Roman" w:eastAsia="仿宋_GB2312" w:cs="Times New Roman"/>
          <w:kern w:val="0"/>
          <w:sz w:val="32"/>
          <w:szCs w:val="32"/>
        </w:rPr>
        <w:t>提前储备好疫情防控所需防护用品、消毒用品、洗涤用品、口罩、测温仪等物资，</w:t>
      </w:r>
      <w:r>
        <w:rPr>
          <w:rFonts w:ascii="Times New Roman" w:hAnsi="Times New Roman" w:eastAsia="仿宋_GB2312" w:cs="Times New Roman"/>
          <w:sz w:val="32"/>
          <w:szCs w:val="32"/>
        </w:rPr>
        <w:t>确保考务工作正常开展。</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3.做好考生服务。做好考生防控答疑服务，及时科学准确给予考生防控有关问题解答。</w:t>
      </w:r>
    </w:p>
    <w:p>
      <w:pPr>
        <w:snapToGrid w:val="0"/>
        <w:spacing w:line="560" w:lineRule="exact"/>
        <w:ind w:left="-199" w:leftChars="-95"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snapToGrid w:val="0"/>
        <w:spacing w:line="560" w:lineRule="exact"/>
        <w:ind w:left="-199" w:leftChars="-95" w:firstLine="640" w:firstLineChars="200"/>
      </w:pPr>
      <w:r>
        <w:rPr>
          <w:rFonts w:ascii="Times New Roman" w:hAnsi="Times New Roman" w:eastAsia="仿宋_GB2312" w:cs="Times New Roman"/>
          <w:color w:val="000000" w:themeColor="text1"/>
          <w:kern w:val="0"/>
          <w:sz w:val="32"/>
          <w:szCs w:val="32"/>
        </w:rPr>
        <w:t>5.严格落实核酸检测、全程疫苗接种、测温扫码、全程佩戴口罩、</w:t>
      </w:r>
      <w:r>
        <w:rPr>
          <w:rFonts w:hint="eastAsia" w:ascii="Times New Roman" w:hAnsi="Times New Roman" w:eastAsia="仿宋_GB2312" w:cs="Times New Roman"/>
          <w:color w:val="000000" w:themeColor="text1"/>
          <w:kern w:val="0"/>
          <w:sz w:val="32"/>
          <w:szCs w:val="32"/>
        </w:rPr>
        <w:t>培训</w:t>
      </w:r>
      <w:r>
        <w:rPr>
          <w:rFonts w:ascii="Times New Roman" w:hAnsi="Times New Roman" w:eastAsia="仿宋_GB2312" w:cs="Times New Roman"/>
          <w:color w:val="000000" w:themeColor="text1"/>
          <w:kern w:val="0"/>
          <w:sz w:val="32"/>
          <w:szCs w:val="32"/>
        </w:rPr>
        <w:t>现场通风消毒和参加</w:t>
      </w:r>
      <w:r>
        <w:rPr>
          <w:rFonts w:hint="eastAsia" w:ascii="Times New Roman" w:hAnsi="Times New Roman" w:eastAsia="仿宋_GB2312" w:cs="Times New Roman"/>
          <w:color w:val="000000" w:themeColor="text1"/>
          <w:kern w:val="0"/>
          <w:sz w:val="32"/>
          <w:szCs w:val="32"/>
        </w:rPr>
        <w:t>培训</w:t>
      </w:r>
      <w:r>
        <w:rPr>
          <w:rFonts w:ascii="Times New Roman" w:hAnsi="Times New Roman" w:eastAsia="仿宋_GB2312" w:cs="Times New Roman"/>
          <w:color w:val="000000" w:themeColor="text1"/>
          <w:kern w:val="0"/>
          <w:sz w:val="32"/>
          <w:szCs w:val="32"/>
        </w:rPr>
        <w:t>人员消毒等措施。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eastAsia="仿宋_GB2312"/>
          <w:sz w:val="32"/>
          <w:szCs w:val="32"/>
        </w:rPr>
        <w:t>毕节市民政局下属事业单位2021年第二批“人才强市”暨高层次急需紧缺人才引进面试疫情防控领导小组</w:t>
      </w:r>
      <w:r>
        <w:rPr>
          <w:rFonts w:hint="eastAsia" w:ascii="仿宋_GB2312" w:hAnsi="仿宋_GB2312" w:eastAsia="仿宋_GB2312" w:cs="仿宋_GB2312"/>
          <w:sz w:val="32"/>
          <w:szCs w:val="32"/>
        </w:rPr>
        <w:t>负责解释，未尽事宜由该疫情防控领导小组负责完善落实。</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spacing w:line="560" w:lineRule="exact"/>
        <w:rPr>
          <w:rFonts w:ascii="仿宋_GB2312" w:hAnsi="仿宋_GB2312" w:eastAsia="仿宋_GB2312" w:cs="仿宋_GB2312"/>
          <w:sz w:val="32"/>
          <w:szCs w:val="32"/>
        </w:rPr>
      </w:pPr>
    </w:p>
    <w:p>
      <w:pPr>
        <w:spacing w:line="560" w:lineRule="exact"/>
        <w:ind w:firstLine="5600" w:firstLineChars="1750"/>
        <w:rPr>
          <w:rFonts w:ascii="仿宋_GB2312" w:hAnsi="仿宋_GB2312" w:eastAsia="仿宋_GB2312" w:cs="仿宋_GB2312"/>
          <w:sz w:val="32"/>
          <w:szCs w:val="32"/>
        </w:rPr>
      </w:pPr>
      <w:r>
        <w:rPr>
          <w:rFonts w:hint="eastAsia" w:ascii="仿宋_GB2312" w:hAnsi="仿宋_GB2312" w:eastAsia="仿宋_GB2312" w:cs="仿宋_GB2312"/>
          <w:sz w:val="32"/>
          <w:szCs w:val="32"/>
        </w:rPr>
        <w:t>毕节市民政局</w:t>
      </w:r>
    </w:p>
    <w:p>
      <w:pPr>
        <w:spacing w:line="56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2022年3月9日</w:t>
      </w:r>
    </w:p>
    <w:p>
      <w:pPr>
        <w:pStyle w:val="8"/>
        <w:spacing w:line="560" w:lineRule="exact"/>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pPr>
        <w:pStyle w:val="8"/>
        <w:ind w:firstLine="0" w:firstLineChars="0"/>
        <w:rPr>
          <w:rFonts w:eastAsia="黑体"/>
          <w:color w:val="000000"/>
          <w:sz w:val="32"/>
          <w:szCs w:val="32"/>
        </w:rPr>
      </w:pPr>
    </w:p>
    <w:p>
      <w:r>
        <w:rPr>
          <w:rFonts w:hint="eastAsia"/>
        </w:rPr>
        <w:t xml:space="preserve"> </w:t>
      </w:r>
    </w:p>
    <w:p>
      <w:pPr>
        <w:pStyle w:val="2"/>
      </w:pPr>
    </w:p>
    <w:p>
      <w:pPr>
        <w:pStyle w:val="2"/>
      </w:pPr>
    </w:p>
    <w:p>
      <w:pPr>
        <w:pStyle w:val="2"/>
      </w:pPr>
    </w:p>
    <w:p>
      <w:pPr>
        <w:pStyle w:val="2"/>
      </w:pPr>
    </w:p>
    <w:p>
      <w:pPr>
        <w:pStyle w:val="2"/>
      </w:pPr>
    </w:p>
    <w:p>
      <w:pPr>
        <w:pStyle w:val="2"/>
      </w:pPr>
    </w:p>
    <w:p>
      <w:pPr>
        <w:pStyle w:val="8"/>
        <w:ind w:firstLine="0" w:firstLineChars="0"/>
        <w:rPr>
          <w:rFonts w:eastAsia="黑体"/>
          <w:color w:val="000000"/>
          <w:sz w:val="32"/>
          <w:szCs w:val="32"/>
        </w:rPr>
      </w:pPr>
      <w:r>
        <w:rPr>
          <w:rFonts w:eastAsia="黑体"/>
          <w:color w:val="000000"/>
          <w:sz w:val="32"/>
          <w:szCs w:val="32"/>
        </w:rPr>
        <w:t>附件</w:t>
      </w:r>
    </w:p>
    <w:p>
      <w:pPr>
        <w:pStyle w:val="8"/>
        <w:ind w:firstLine="0" w:firstLineChars="0"/>
        <w:jc w:val="center"/>
        <w:rPr>
          <w:rFonts w:ascii="方正小标宋简体" w:eastAsia="方正小标宋简体"/>
          <w:bCs/>
          <w:spacing w:val="-20"/>
        </w:rPr>
      </w:pPr>
      <w:r>
        <w:rPr>
          <w:rFonts w:hint="eastAsia" w:ascii="方正小标宋简体" w:eastAsia="方正小标宋简体"/>
          <w:bCs/>
          <w:spacing w:val="-20"/>
          <w:kern w:val="0"/>
          <w:sz w:val="44"/>
          <w:szCs w:val="44"/>
        </w:rPr>
        <w:t>新冠肺炎疫情防控要求个人防疫情况申报表</w:t>
      </w:r>
    </w:p>
    <w:tbl>
      <w:tblPr>
        <w:tblStyle w:val="9"/>
        <w:tblW w:w="5000" w:type="pct"/>
        <w:jc w:val="center"/>
        <w:tblLayout w:type="autofit"/>
        <w:tblCellMar>
          <w:top w:w="0" w:type="dxa"/>
          <w:left w:w="0" w:type="dxa"/>
          <w:bottom w:w="0" w:type="dxa"/>
          <w:right w:w="0" w:type="dxa"/>
        </w:tblCellMar>
      </w:tblPr>
      <w:tblGrid>
        <w:gridCol w:w="1776"/>
        <w:gridCol w:w="928"/>
        <w:gridCol w:w="1246"/>
        <w:gridCol w:w="1877"/>
        <w:gridCol w:w="999"/>
        <w:gridCol w:w="2048"/>
      </w:tblGrid>
      <w:tr>
        <w:tblPrEx>
          <w:tblCellMar>
            <w:top w:w="0" w:type="dxa"/>
            <w:left w:w="0" w:type="dxa"/>
            <w:bottom w:w="0" w:type="dxa"/>
            <w:right w:w="0" w:type="dxa"/>
          </w:tblCellMar>
        </w:tblPrEx>
        <w:trPr>
          <w:trHeight w:val="423" w:hRule="atLeast"/>
          <w:jc w:val="center"/>
        </w:trPr>
        <w:tc>
          <w:tcPr>
            <w:tcW w:w="100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仿宋_GB2312" w:hAnsi="黑体" w:eastAsia="仿宋_GB2312" w:cs="黑体"/>
                <w:sz w:val="22"/>
              </w:rPr>
            </w:pPr>
            <w:r>
              <w:rPr>
                <w:rFonts w:hint="eastAsia" w:ascii="仿宋_GB2312" w:hAnsi="黑体" w:eastAsia="仿宋_GB2312" w:cs="黑体"/>
                <w:kern w:val="0"/>
                <w:sz w:val="22"/>
              </w:rPr>
              <w:t>姓  名</w:t>
            </w:r>
          </w:p>
        </w:tc>
        <w:tc>
          <w:tcPr>
            <w:tcW w:w="521"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仿宋_GB2312" w:hAnsi="黑体" w:eastAsia="仿宋_GB2312" w:cs="黑体"/>
                <w:sz w:val="22"/>
              </w:rPr>
            </w:pPr>
          </w:p>
        </w:tc>
        <w:tc>
          <w:tcPr>
            <w:tcW w:w="70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仿宋_GB2312" w:hAnsi="黑体" w:eastAsia="仿宋_GB2312" w:cs="黑体"/>
                <w:sz w:val="22"/>
              </w:rPr>
            </w:pPr>
            <w:r>
              <w:rPr>
                <w:rFonts w:hint="eastAsia" w:ascii="仿宋_GB2312" w:hAnsi="黑体" w:eastAsia="仿宋_GB2312" w:cs="黑体"/>
                <w:kern w:val="0"/>
                <w:sz w:val="22"/>
              </w:rPr>
              <w:t>性  别</w:t>
            </w:r>
          </w:p>
        </w:tc>
        <w:tc>
          <w:tcPr>
            <w:tcW w:w="10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仿宋_GB2312" w:hAnsi="黑体" w:eastAsia="仿宋_GB2312" w:cs="黑体"/>
                <w:sz w:val="22"/>
              </w:rPr>
            </w:pP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仿宋_GB2312" w:hAnsi="黑体" w:eastAsia="仿宋_GB2312" w:cs="黑体"/>
                <w:sz w:val="22"/>
              </w:rPr>
            </w:pPr>
            <w:r>
              <w:rPr>
                <w:rFonts w:hint="eastAsia" w:ascii="仿宋_GB2312" w:hAnsi="黑体" w:eastAsia="仿宋_GB2312" w:cs="黑体"/>
                <w:kern w:val="0"/>
                <w:sz w:val="22"/>
              </w:rPr>
              <w:t>年  龄</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仿宋_GB2312" w:hAnsi="黑体" w:eastAsia="仿宋_GB2312" w:cs="黑体"/>
                <w:sz w:val="22"/>
              </w:rPr>
            </w:pPr>
          </w:p>
        </w:tc>
      </w:tr>
      <w:tr>
        <w:tblPrEx>
          <w:tblCellMar>
            <w:top w:w="0" w:type="dxa"/>
            <w:left w:w="0" w:type="dxa"/>
            <w:bottom w:w="0" w:type="dxa"/>
            <w:right w:w="0" w:type="dxa"/>
          </w:tblCellMar>
        </w:tblPrEx>
        <w:trPr>
          <w:trHeight w:val="423" w:hRule="atLeast"/>
          <w:jc w:val="center"/>
        </w:trPr>
        <w:tc>
          <w:tcPr>
            <w:tcW w:w="1002"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仿宋_GB2312" w:hAnsi="黑体" w:eastAsia="仿宋_GB2312" w:cs="黑体"/>
                <w:sz w:val="22"/>
              </w:rPr>
            </w:pPr>
            <w:r>
              <w:rPr>
                <w:rFonts w:hint="eastAsia" w:ascii="仿宋_GB2312" w:hAnsi="黑体" w:eastAsia="仿宋_GB2312" w:cs="黑体"/>
                <w:kern w:val="0"/>
                <w:sz w:val="22"/>
              </w:rPr>
              <w:t>身份证号</w:t>
            </w:r>
          </w:p>
        </w:tc>
        <w:tc>
          <w:tcPr>
            <w:tcW w:w="122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仿宋_GB2312" w:hAnsi="黑体" w:eastAsia="仿宋_GB2312" w:cs="黑体"/>
                <w:sz w:val="22"/>
              </w:rPr>
            </w:pPr>
          </w:p>
        </w:tc>
        <w:tc>
          <w:tcPr>
            <w:tcW w:w="105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仿宋_GB2312" w:hAnsi="黑体" w:eastAsia="仿宋_GB2312" w:cs="黑体"/>
                <w:sz w:val="22"/>
              </w:rPr>
            </w:pPr>
            <w:r>
              <w:rPr>
                <w:rFonts w:hint="eastAsia" w:ascii="仿宋_GB2312" w:hAnsi="黑体" w:eastAsia="仿宋_GB2312" w:cs="黑体"/>
                <w:kern w:val="0"/>
                <w:sz w:val="22"/>
              </w:rPr>
              <w:t>手机号码</w:t>
            </w:r>
          </w:p>
        </w:tc>
        <w:tc>
          <w:tcPr>
            <w:tcW w:w="171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仿宋_GB2312" w:hAnsi="黑体" w:eastAsia="仿宋_GB2312" w:cs="黑体"/>
                <w:sz w:val="22"/>
              </w:rPr>
            </w:pPr>
          </w:p>
        </w:tc>
      </w:tr>
      <w:tr>
        <w:tblPrEx>
          <w:tblCellMar>
            <w:top w:w="0" w:type="dxa"/>
            <w:left w:w="0" w:type="dxa"/>
            <w:bottom w:w="0" w:type="dxa"/>
            <w:right w:w="0" w:type="dxa"/>
          </w:tblCellMar>
        </w:tblPrEx>
        <w:trPr>
          <w:trHeight w:val="423" w:hRule="atLeast"/>
          <w:jc w:val="center"/>
        </w:trPr>
        <w:tc>
          <w:tcPr>
            <w:tcW w:w="10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仿宋_GB2312" w:hAnsi="黑体" w:eastAsia="仿宋_GB2312" w:cs="黑体"/>
                <w:sz w:val="22"/>
              </w:rPr>
            </w:pPr>
            <w:r>
              <w:rPr>
                <w:rFonts w:hint="eastAsia" w:ascii="仿宋_GB2312" w:hAnsi="黑体" w:eastAsia="仿宋_GB2312" w:cs="黑体"/>
                <w:kern w:val="0"/>
                <w:sz w:val="22"/>
              </w:rPr>
              <w:t>工作单位</w:t>
            </w:r>
          </w:p>
        </w:tc>
        <w:tc>
          <w:tcPr>
            <w:tcW w:w="3998"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adjustRightInd w:val="0"/>
              <w:snapToGrid w:val="0"/>
              <w:spacing w:line="560" w:lineRule="exact"/>
              <w:jc w:val="center"/>
              <w:rPr>
                <w:rFonts w:ascii="仿宋_GB2312" w:hAnsi="黑体" w:eastAsia="仿宋_GB2312"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560" w:lineRule="exact"/>
              <w:jc w:val="center"/>
              <w:textAlignment w:val="center"/>
              <w:rPr>
                <w:rFonts w:ascii="仿宋_GB2312" w:hAnsi="黑体" w:eastAsia="仿宋_GB2312" w:cs="黑体"/>
                <w:b/>
                <w:bCs/>
                <w:sz w:val="22"/>
              </w:rPr>
            </w:pPr>
            <w:r>
              <w:rPr>
                <w:rFonts w:hint="eastAsia" w:ascii="仿宋_GB2312" w:hAnsi="黑体" w:eastAsia="仿宋_GB2312"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283"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left"/>
              <w:textAlignment w:val="center"/>
              <w:rPr>
                <w:rFonts w:ascii="仿宋_GB2312" w:hAnsi="黑体" w:eastAsia="仿宋_GB2312" w:cs="黑体"/>
                <w:sz w:val="24"/>
                <w:szCs w:val="28"/>
              </w:rPr>
            </w:pPr>
            <w:r>
              <w:rPr>
                <w:rFonts w:hint="eastAsia" w:ascii="仿宋_GB2312" w:hAnsi="黑体" w:eastAsia="仿宋_GB2312" w:cs="黑体"/>
                <w:kern w:val="0"/>
                <w:sz w:val="24"/>
              </w:rPr>
              <w:t>活动前28天</w:t>
            </w:r>
            <w:r>
              <w:rPr>
                <w:rFonts w:hint="eastAsia" w:ascii="仿宋_GB2312" w:hAnsi="黑体" w:eastAsia="仿宋_GB2312" w:cs="黑体"/>
                <w:kern w:val="0"/>
                <w:sz w:val="24"/>
                <w:szCs w:val="28"/>
              </w:rPr>
              <w:t>是否有国外旅居史</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355" w:hRule="atLeast"/>
          <w:jc w:val="center"/>
        </w:trPr>
        <w:tc>
          <w:tcPr>
            <w:tcW w:w="3283" w:type="pct"/>
            <w:gridSpan w:val="4"/>
            <w:tcBorders>
              <w:top w:val="single" w:color="000000" w:sz="4" w:space="0"/>
              <w:left w:val="single" w:color="000000" w:sz="4" w:space="0"/>
              <w:right w:val="single" w:color="auto" w:sz="4" w:space="0"/>
            </w:tcBorders>
            <w:noWrap/>
            <w:tcMar>
              <w:top w:w="15" w:type="dxa"/>
              <w:left w:w="15" w:type="dxa"/>
              <w:right w:w="15" w:type="dxa"/>
            </w:tcMar>
            <w:vAlign w:val="center"/>
          </w:tcPr>
          <w:p>
            <w:pPr>
              <w:adjustRightInd w:val="0"/>
              <w:snapToGrid w:val="0"/>
              <w:spacing w:line="400" w:lineRule="exact"/>
              <w:jc w:val="left"/>
              <w:rPr>
                <w:rFonts w:ascii="仿宋_GB2312" w:hAnsi="黑体" w:eastAsia="仿宋_GB2312" w:cs="黑体"/>
                <w:sz w:val="24"/>
                <w:szCs w:val="28"/>
              </w:rPr>
            </w:pPr>
            <w:r>
              <w:rPr>
                <w:rFonts w:hint="eastAsia" w:ascii="仿宋_GB2312" w:hAnsi="黑体" w:eastAsia="仿宋_GB2312" w:cs="黑体"/>
                <w:kern w:val="0"/>
                <w:sz w:val="24"/>
              </w:rPr>
              <w:t>活动前28天</w:t>
            </w:r>
            <w:r>
              <w:rPr>
                <w:rFonts w:hint="eastAsia" w:ascii="仿宋_GB2312" w:hAnsi="黑体" w:eastAsia="仿宋_GB2312" w:cs="黑体"/>
                <w:kern w:val="0"/>
                <w:sz w:val="24"/>
                <w:szCs w:val="28"/>
              </w:rPr>
              <w:t>是否有港、台旅居史</w:t>
            </w:r>
          </w:p>
        </w:tc>
        <w:tc>
          <w:tcPr>
            <w:tcW w:w="561" w:type="pct"/>
            <w:tcBorders>
              <w:top w:val="single" w:color="000000" w:sz="4" w:space="0"/>
              <w:left w:val="single" w:color="auto" w:sz="4" w:space="0"/>
              <w:right w:val="single" w:color="auto" w:sz="4" w:space="0"/>
            </w:tcBorders>
            <w:noWrap/>
            <w:vAlign w:val="center"/>
          </w:tcPr>
          <w:p>
            <w:pPr>
              <w:adjustRightInd w:val="0"/>
              <w:snapToGrid w:val="0"/>
              <w:spacing w:line="400" w:lineRule="exact"/>
              <w:jc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auto" w:sz="4" w:space="0"/>
              <w:right w:val="single" w:color="000000" w:sz="4" w:space="0"/>
            </w:tcBorders>
            <w:noWrap/>
            <w:vAlign w:val="center"/>
          </w:tcPr>
          <w:p>
            <w:pPr>
              <w:adjustRightInd w:val="0"/>
              <w:snapToGrid w:val="0"/>
              <w:spacing w:line="400" w:lineRule="exact"/>
              <w:jc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355" w:hRule="atLeast"/>
          <w:jc w:val="center"/>
        </w:trPr>
        <w:tc>
          <w:tcPr>
            <w:tcW w:w="3283"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left"/>
              <w:textAlignment w:val="center"/>
              <w:rPr>
                <w:rFonts w:ascii="仿宋_GB2312" w:hAnsi="黑体" w:eastAsia="仿宋_GB2312" w:cs="黑体"/>
                <w:sz w:val="24"/>
                <w:szCs w:val="28"/>
              </w:rPr>
            </w:pPr>
            <w:r>
              <w:rPr>
                <w:rFonts w:hint="eastAsia" w:ascii="仿宋_GB2312" w:hAnsi="黑体" w:eastAsia="仿宋_GB2312" w:cs="黑体"/>
                <w:kern w:val="0"/>
                <w:sz w:val="24"/>
              </w:rPr>
              <w:t>活动前28天</w:t>
            </w:r>
            <w:r>
              <w:rPr>
                <w:rFonts w:hint="eastAsia" w:ascii="仿宋_GB2312" w:hAnsi="黑体" w:eastAsia="仿宋_GB2312" w:cs="黑体"/>
                <w:kern w:val="0"/>
                <w:sz w:val="24"/>
                <w:szCs w:val="28"/>
              </w:rPr>
              <w:t>是否有中、高风险地区旅居史</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355" w:hRule="atLeast"/>
          <w:jc w:val="center"/>
        </w:trPr>
        <w:tc>
          <w:tcPr>
            <w:tcW w:w="3283"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left"/>
              <w:textAlignment w:val="center"/>
              <w:rPr>
                <w:rFonts w:ascii="仿宋_GB2312" w:hAnsi="黑体" w:eastAsia="仿宋_GB2312" w:cs="黑体"/>
                <w:kern w:val="0"/>
                <w:sz w:val="24"/>
                <w:szCs w:val="28"/>
              </w:rPr>
            </w:pPr>
            <w:r>
              <w:rPr>
                <w:rFonts w:hint="eastAsia" w:ascii="仿宋_GB2312" w:hAnsi="黑体" w:eastAsia="仿宋_GB2312" w:cs="黑体"/>
                <w:kern w:val="0"/>
                <w:sz w:val="24"/>
                <w:szCs w:val="28"/>
              </w:rPr>
              <w:t>活动前14天是否有本土阳性感染者报告市（州）旅居史</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355" w:hRule="atLeast"/>
          <w:jc w:val="center"/>
        </w:trPr>
        <w:tc>
          <w:tcPr>
            <w:tcW w:w="3283"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left"/>
              <w:textAlignment w:val="center"/>
              <w:rPr>
                <w:rFonts w:ascii="仿宋_GB2312" w:hAnsi="黑体" w:eastAsia="仿宋_GB2312" w:cs="黑体"/>
                <w:kern w:val="0"/>
                <w:sz w:val="24"/>
                <w:szCs w:val="28"/>
              </w:rPr>
            </w:pPr>
            <w:r>
              <w:rPr>
                <w:rFonts w:hint="eastAsia" w:ascii="仿宋_GB2312" w:hAnsi="黑体" w:eastAsia="仿宋_GB2312" w:cs="黑体"/>
                <w:kern w:val="0"/>
                <w:sz w:val="24"/>
                <w:szCs w:val="28"/>
              </w:rPr>
              <w:t>活动前14天是否有省外无本土病例报告市（州）旅居史</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355" w:hRule="atLeast"/>
          <w:jc w:val="center"/>
        </w:trPr>
        <w:tc>
          <w:tcPr>
            <w:tcW w:w="3283"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left"/>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是否为仍处于康复或隔离期的新冠肺炎确诊病例或无症状感染者</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355" w:hRule="atLeast"/>
          <w:jc w:val="center"/>
        </w:trPr>
        <w:tc>
          <w:tcPr>
            <w:tcW w:w="3283"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left"/>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是否为仍处于医学隔离期的密切接触者或次密切接触者</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355" w:hRule="atLeast"/>
          <w:jc w:val="center"/>
        </w:trPr>
        <w:tc>
          <w:tcPr>
            <w:tcW w:w="3283"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left"/>
              <w:textAlignment w:val="center"/>
              <w:rPr>
                <w:rFonts w:ascii="仿宋_GB2312" w:hAnsi="黑体" w:eastAsia="仿宋_GB2312" w:cs="黑体"/>
                <w:kern w:val="0"/>
                <w:sz w:val="24"/>
                <w:szCs w:val="28"/>
              </w:rPr>
            </w:pPr>
            <w:r>
              <w:rPr>
                <w:rFonts w:hint="eastAsia" w:ascii="仿宋_GB2312" w:hAnsi="黑体" w:eastAsia="仿宋_GB2312" w:cs="黑体"/>
                <w:kern w:val="0"/>
                <w:sz w:val="24"/>
                <w:szCs w:val="28"/>
              </w:rPr>
              <w:t>是否与阳性感染者同乘交通工具或活动轨迹有交集</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355" w:hRule="atLeast"/>
          <w:jc w:val="center"/>
        </w:trPr>
        <w:tc>
          <w:tcPr>
            <w:tcW w:w="3283"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left"/>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是否与来自中、高风险疫情地区人员有密切接触</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355" w:hRule="atLeast"/>
          <w:jc w:val="center"/>
        </w:trPr>
        <w:tc>
          <w:tcPr>
            <w:tcW w:w="3283"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left"/>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密切接触的家属及同事是否有发热等症状</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403" w:hRule="atLeast"/>
          <w:jc w:val="center"/>
        </w:trPr>
        <w:tc>
          <w:tcPr>
            <w:tcW w:w="3283"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left"/>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密切接触的家属及同事是否有中高风险地区、港台及国外旅居史</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355" w:hRule="atLeast"/>
          <w:jc w:val="center"/>
        </w:trPr>
        <w:tc>
          <w:tcPr>
            <w:tcW w:w="3283"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left"/>
              <w:textAlignment w:val="center"/>
              <w:rPr>
                <w:rFonts w:ascii="仿宋_GB2312" w:hAnsi="黑体" w:eastAsia="仿宋_GB2312" w:cs="黑体"/>
                <w:kern w:val="0"/>
                <w:sz w:val="24"/>
                <w:szCs w:val="28"/>
              </w:rPr>
            </w:pPr>
            <w:r>
              <w:rPr>
                <w:rFonts w:hint="eastAsia" w:ascii="仿宋_GB2312" w:hAnsi="黑体" w:eastAsia="仿宋_GB2312" w:cs="黑体"/>
                <w:kern w:val="0"/>
                <w:sz w:val="24"/>
                <w:szCs w:val="28"/>
              </w:rPr>
              <w:t>是否接种新冠肺炎疫苗，未全程接种的请在空白处备注原因</w:t>
            </w:r>
          </w:p>
        </w:tc>
        <w:tc>
          <w:tcPr>
            <w:tcW w:w="56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是 口</w:t>
            </w:r>
          </w:p>
        </w:tc>
        <w:tc>
          <w:tcPr>
            <w:tcW w:w="11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400" w:lineRule="exact"/>
              <w:jc w:val="center"/>
              <w:textAlignment w:val="center"/>
              <w:rPr>
                <w:rFonts w:ascii="仿宋_GB2312" w:hAnsi="黑体" w:eastAsia="仿宋_GB2312" w:cs="黑体"/>
                <w:sz w:val="24"/>
                <w:szCs w:val="28"/>
              </w:rPr>
            </w:pPr>
            <w:r>
              <w:rPr>
                <w:rFonts w:hint="eastAsia" w:ascii="仿宋_GB2312" w:hAnsi="黑体" w:eastAsia="仿宋_GB2312"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adjustRightInd w:val="0"/>
              <w:snapToGrid w:val="0"/>
              <w:spacing w:line="400" w:lineRule="exact"/>
              <w:jc w:val="right"/>
              <w:textAlignment w:val="top"/>
              <w:rPr>
                <w:rFonts w:ascii="仿宋_GB2312" w:hAnsi="黑体" w:eastAsia="仿宋_GB2312" w:cs="黑体"/>
                <w:kern w:val="0"/>
                <w:sz w:val="24"/>
                <w:szCs w:val="28"/>
              </w:rPr>
            </w:pPr>
            <w:r>
              <w:rPr>
                <w:rFonts w:hint="eastAsia" w:ascii="仿宋_GB2312" w:hAnsi="黑体" w:eastAsia="仿宋_GB2312" w:cs="黑体"/>
                <w:kern w:val="0"/>
                <w:sz w:val="24"/>
                <w:szCs w:val="28"/>
              </w:rPr>
              <w:t>本人活动前14天健康状况：健康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adjustRightInd w:val="0"/>
              <w:snapToGrid w:val="0"/>
              <w:spacing w:line="560" w:lineRule="exact"/>
              <w:ind w:right="480"/>
              <w:textAlignment w:val="top"/>
              <w:rPr>
                <w:rFonts w:ascii="仿宋_GB2312" w:hAnsi="黑体" w:eastAsia="仿宋_GB2312" w:cs="黑体"/>
                <w:sz w:val="24"/>
                <w:szCs w:val="32"/>
              </w:rPr>
            </w:pPr>
            <w:r>
              <w:rPr>
                <w:rFonts w:hint="eastAsia" w:ascii="仿宋_GB2312" w:hAnsi="黑体" w:eastAsia="仿宋_GB2312" w:cs="黑体"/>
                <w:sz w:val="24"/>
                <w:szCs w:val="32"/>
              </w:rPr>
              <w:t>其它需要说明的情况：</w:t>
            </w:r>
          </w:p>
          <w:p>
            <w:pPr>
              <w:pStyle w:val="2"/>
            </w:pPr>
          </w:p>
        </w:tc>
      </w:tr>
      <w:tr>
        <w:tblPrEx>
          <w:tblCellMar>
            <w:top w:w="0" w:type="dxa"/>
            <w:left w:w="0" w:type="dxa"/>
            <w:bottom w:w="0" w:type="dxa"/>
            <w:right w:w="0" w:type="dxa"/>
          </w:tblCellMar>
        </w:tblPrEx>
        <w:trPr>
          <w:trHeight w:val="142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ind w:firstLine="360" w:firstLineChars="150"/>
              <w:jc w:val="left"/>
              <w:textAlignment w:val="center"/>
              <w:rPr>
                <w:rFonts w:ascii="仿宋_GB2312" w:hAnsi="黑体" w:eastAsia="仿宋_GB2312" w:cs="黑体"/>
                <w:kern w:val="0"/>
                <w:sz w:val="24"/>
                <w:szCs w:val="28"/>
              </w:rPr>
            </w:pPr>
            <w:r>
              <w:rPr>
                <w:rFonts w:hint="eastAsia" w:ascii="仿宋_GB2312" w:hAnsi="黑体" w:eastAsia="仿宋_GB2312"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20" w:lineRule="exact"/>
              <w:jc w:val="left"/>
              <w:textAlignment w:val="center"/>
              <w:rPr>
                <w:rFonts w:ascii="仿宋_GB2312" w:hAnsi="黑体" w:eastAsia="仿宋_GB2312" w:cs="黑体"/>
                <w:kern w:val="0"/>
                <w:sz w:val="24"/>
                <w:szCs w:val="28"/>
              </w:rPr>
            </w:pPr>
          </w:p>
          <w:p>
            <w:pPr>
              <w:widowControl/>
              <w:adjustRightInd w:val="0"/>
              <w:snapToGrid w:val="0"/>
              <w:spacing w:line="320" w:lineRule="exact"/>
              <w:jc w:val="left"/>
              <w:textAlignment w:val="center"/>
              <w:rPr>
                <w:rFonts w:ascii="黑体" w:hAnsi="黑体" w:eastAsia="黑体" w:cs="黑体"/>
                <w:kern w:val="0"/>
                <w:sz w:val="24"/>
                <w:szCs w:val="28"/>
              </w:rPr>
            </w:pPr>
            <w:r>
              <w:rPr>
                <w:rFonts w:hint="eastAsia" w:ascii="仿宋_GB2312" w:hAnsi="黑体" w:eastAsia="仿宋_GB2312" w:cs="黑体"/>
                <w:kern w:val="0"/>
                <w:sz w:val="24"/>
                <w:szCs w:val="28"/>
              </w:rPr>
              <w:t xml:space="preserve">承诺人（签名）：                         日期：    年    月    日  </w:t>
            </w:r>
            <w:r>
              <w:rPr>
                <w:rFonts w:hint="eastAsia" w:ascii="黑体" w:hAnsi="黑体" w:eastAsia="黑体" w:cs="黑体"/>
                <w:kern w:val="0"/>
                <w:sz w:val="24"/>
                <w:szCs w:val="28"/>
              </w:rPr>
              <w:t xml:space="preserve">                   </w:t>
            </w:r>
          </w:p>
        </w:tc>
      </w:tr>
    </w:tbl>
    <w:p>
      <w:pPr>
        <w:pStyle w:val="2"/>
        <w:spacing w:before="0" w:after="0" w:line="560" w:lineRule="exact"/>
        <w:ind w:right="640"/>
        <w:rPr>
          <w:rFonts w:ascii="仿宋_GB2312" w:hAnsi="仿宋_GB2312" w:eastAsia="仿宋_GB2312" w:cs="仿宋_GB2312"/>
          <w:sz w:val="32"/>
          <w:szCs w:val="32"/>
        </w:rPr>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B4702B"/>
    <w:rsid w:val="00006D47"/>
    <w:rsid w:val="00007ADF"/>
    <w:rsid w:val="00051BE4"/>
    <w:rsid w:val="000925E6"/>
    <w:rsid w:val="000F36D1"/>
    <w:rsid w:val="00111BA8"/>
    <w:rsid w:val="001479E7"/>
    <w:rsid w:val="0017399A"/>
    <w:rsid w:val="001B31FC"/>
    <w:rsid w:val="001D32FC"/>
    <w:rsid w:val="00230271"/>
    <w:rsid w:val="00247FB7"/>
    <w:rsid w:val="002C7252"/>
    <w:rsid w:val="002D4D51"/>
    <w:rsid w:val="002F241D"/>
    <w:rsid w:val="00361A60"/>
    <w:rsid w:val="00362527"/>
    <w:rsid w:val="0039556F"/>
    <w:rsid w:val="00475E2F"/>
    <w:rsid w:val="0048511D"/>
    <w:rsid w:val="004B7EE6"/>
    <w:rsid w:val="004F609B"/>
    <w:rsid w:val="00544860"/>
    <w:rsid w:val="00573C81"/>
    <w:rsid w:val="00621AA4"/>
    <w:rsid w:val="006B65CA"/>
    <w:rsid w:val="00726F9C"/>
    <w:rsid w:val="00776110"/>
    <w:rsid w:val="007C3D3D"/>
    <w:rsid w:val="00800C4B"/>
    <w:rsid w:val="00857AE5"/>
    <w:rsid w:val="008628B1"/>
    <w:rsid w:val="008A6E82"/>
    <w:rsid w:val="008F7802"/>
    <w:rsid w:val="0091582A"/>
    <w:rsid w:val="00975000"/>
    <w:rsid w:val="009F18A2"/>
    <w:rsid w:val="00A31EB2"/>
    <w:rsid w:val="00A47DB7"/>
    <w:rsid w:val="00A844C9"/>
    <w:rsid w:val="00AC4014"/>
    <w:rsid w:val="00B74B53"/>
    <w:rsid w:val="00C82D8F"/>
    <w:rsid w:val="00CA3D99"/>
    <w:rsid w:val="00DB6AAA"/>
    <w:rsid w:val="00DC4837"/>
    <w:rsid w:val="00EB1DFC"/>
    <w:rsid w:val="00F80894"/>
    <w:rsid w:val="00FF4366"/>
    <w:rsid w:val="01371452"/>
    <w:rsid w:val="01A03863"/>
    <w:rsid w:val="026C7714"/>
    <w:rsid w:val="037277DE"/>
    <w:rsid w:val="04717F2B"/>
    <w:rsid w:val="04ED7D8A"/>
    <w:rsid w:val="053A0327"/>
    <w:rsid w:val="05683784"/>
    <w:rsid w:val="057C3BE1"/>
    <w:rsid w:val="05D733E3"/>
    <w:rsid w:val="0B4708A0"/>
    <w:rsid w:val="0B775C26"/>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8AD5549"/>
    <w:rsid w:val="2FAD3A6E"/>
    <w:rsid w:val="30C166B8"/>
    <w:rsid w:val="31EC59D5"/>
    <w:rsid w:val="32EA169B"/>
    <w:rsid w:val="356A0055"/>
    <w:rsid w:val="36137CDF"/>
    <w:rsid w:val="366B661D"/>
    <w:rsid w:val="37EA7B10"/>
    <w:rsid w:val="38A20015"/>
    <w:rsid w:val="39D87645"/>
    <w:rsid w:val="3D4228CF"/>
    <w:rsid w:val="3F3224C2"/>
    <w:rsid w:val="4039566E"/>
    <w:rsid w:val="428D5931"/>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54596C98"/>
    <w:rsid w:val="55101C5F"/>
    <w:rsid w:val="55FB3AA0"/>
    <w:rsid w:val="56D24D6C"/>
    <w:rsid w:val="5A7F1F4B"/>
    <w:rsid w:val="5CA472BA"/>
    <w:rsid w:val="5F56518C"/>
    <w:rsid w:val="5F8121DB"/>
    <w:rsid w:val="60D109A5"/>
    <w:rsid w:val="62A37F6F"/>
    <w:rsid w:val="64AC1913"/>
    <w:rsid w:val="654A2869"/>
    <w:rsid w:val="66D663FE"/>
    <w:rsid w:val="66D75171"/>
    <w:rsid w:val="671C7D11"/>
    <w:rsid w:val="67DA2C2A"/>
    <w:rsid w:val="69940092"/>
    <w:rsid w:val="6B6802A2"/>
    <w:rsid w:val="6BA22BEA"/>
    <w:rsid w:val="6C9154F8"/>
    <w:rsid w:val="6D0A2411"/>
    <w:rsid w:val="6E4B0A6C"/>
    <w:rsid w:val="6F026342"/>
    <w:rsid w:val="71D55CAE"/>
    <w:rsid w:val="722C21AA"/>
    <w:rsid w:val="72A97961"/>
    <w:rsid w:val="765E0C40"/>
    <w:rsid w:val="76D6263F"/>
    <w:rsid w:val="77104754"/>
    <w:rsid w:val="7C663F54"/>
    <w:rsid w:val="7DED32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ascii="Calibri" w:hAnsi="Calibri" w:eastAsia="宋体" w:cs="Times New Roman"/>
      <w:kern w:val="0"/>
      <w:sz w:val="24"/>
    </w:rPr>
  </w:style>
  <w:style w:type="paragraph" w:styleId="7">
    <w:name w:val="Title"/>
    <w:basedOn w:val="1"/>
    <w:next w:val="8"/>
    <w:qFormat/>
    <w:uiPriority w:val="0"/>
    <w:pPr>
      <w:spacing w:line="240" w:lineRule="atLeast"/>
      <w:jc w:val="center"/>
    </w:pPr>
    <w:rPr>
      <w:rFonts w:ascii="Cambria" w:hAnsi="Cambria" w:cs="Cambria"/>
      <w:b/>
      <w:bCs/>
      <w:sz w:val="32"/>
      <w:szCs w:val="32"/>
    </w:rPr>
  </w:style>
  <w:style w:type="paragraph" w:customStyle="1" w:styleId="8">
    <w:name w:val="Body Text Indent1"/>
    <w:basedOn w:val="1"/>
    <w:next w:val="1"/>
    <w:qFormat/>
    <w:uiPriority w:val="0"/>
    <w:pPr>
      <w:ind w:firstLine="420" w:firstLineChars="140"/>
    </w:pPr>
    <w:rPr>
      <w:szCs w:val="21"/>
    </w:rPr>
  </w:style>
  <w:style w:type="character" w:customStyle="1" w:styleId="11">
    <w:name w:val="页眉 Char"/>
    <w:basedOn w:val="10"/>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38726-3732-4164-88BD-F89BAA9A8D3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617</Words>
  <Characters>3519</Characters>
  <Lines>29</Lines>
  <Paragraphs>8</Paragraphs>
  <TotalTime>81</TotalTime>
  <ScaleCrop>false</ScaleCrop>
  <LinksUpToDate>false</LinksUpToDate>
  <CharactersWithSpaces>4128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8   9</cp:lastModifiedBy>
  <cp:lastPrinted>2022-03-09T07:50:00Z</cp:lastPrinted>
  <dcterms:modified xsi:type="dcterms:W3CDTF">2022-03-09T09:33:30Z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E64BE1605E8E4EFCBC173C655431F126</vt:lpwstr>
  </property>
  <property fmtid="{D5CDD505-2E9C-101B-9397-08002B2CF9AE}" pid="4" name="KSOSaveFontToCloudKey">
    <vt:lpwstr>15354578_btnclosed</vt:lpwstr>
  </property>
</Properties>
</file>