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寂地简体">
    <w:panose1 w:val="02010600010101010101"/>
    <w:charset w:val="86"/>
    <w:family w:val="auto"/>
    <w:pitch w:val="default"/>
    <w:sig w:usb0="A00002BF" w:usb1="18CF6CFA" w:usb2="00000012" w:usb3="00000000" w:csb0="00040000" w:csb1="00000000"/>
  </w:font>
  <w:font w:name="迷你简香肠">
    <w:panose1 w:val="020B0602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1D2D7D33"/>
    <w:rsid w:val="28253442"/>
    <w:rsid w:val="2DCC5749"/>
    <w:rsid w:val="38F86657"/>
    <w:rsid w:val="4CCC3EBA"/>
    <w:rsid w:val="54967CB5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2022-03-04T08:37:48Z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9B8CD6EEC7EA4B2B94636F1AEC983171</vt:lpwstr>
  </property>
</Properties>
</file>