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jc w:val="left"/>
        <w:rPr>
          <w:rFonts w:hint="eastAsia" w:ascii="宋体" w:hAnsi="宋体" w:eastAsia="宋体" w:cs="宋体"/>
          <w:b/>
          <w:bCs/>
          <w:color w:val="444444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44444"/>
          <w:sz w:val="24"/>
          <w:szCs w:val="24"/>
          <w:shd w:val="clear" w:color="auto" w:fill="FFFFFF"/>
          <w:lang w:val="en-US" w:eastAsia="zh-CN"/>
        </w:rPr>
        <w:t>附件1：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jc w:val="center"/>
        <w:rPr>
          <w:rFonts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444444"/>
          <w:sz w:val="32"/>
          <w:szCs w:val="32"/>
          <w:shd w:val="clear" w:color="auto" w:fill="FFFFFF"/>
        </w:rPr>
        <w:t>招聘条件及待遇</w:t>
      </w:r>
    </w:p>
    <w:bookmarkEnd w:id="0"/>
    <w:tbl>
      <w:tblPr>
        <w:tblStyle w:val="2"/>
        <w:tblW w:w="5059" w:type="pct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2178"/>
        <w:gridCol w:w="502"/>
        <w:gridCol w:w="668"/>
        <w:gridCol w:w="505"/>
        <w:gridCol w:w="588"/>
        <w:gridCol w:w="1507"/>
        <w:gridCol w:w="839"/>
        <w:gridCol w:w="754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人才类别</w:t>
            </w:r>
          </w:p>
        </w:tc>
        <w:tc>
          <w:tcPr>
            <w:tcW w:w="126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学校引进条件</w:t>
            </w:r>
          </w:p>
        </w:tc>
        <w:tc>
          <w:tcPr>
            <w:tcW w:w="2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学院引进</w:t>
            </w:r>
            <w:r>
              <w:rPr>
                <w:rFonts w:ascii="仿宋" w:hAnsi="仿宋" w:eastAsia="仿宋"/>
                <w:b/>
                <w:color w:val="000000"/>
                <w:sz w:val="20"/>
                <w:szCs w:val="21"/>
              </w:rPr>
              <w:t>条件</w:t>
            </w:r>
          </w:p>
        </w:tc>
        <w:tc>
          <w:tcPr>
            <w:tcW w:w="2381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学校待遇</w:t>
            </w:r>
          </w:p>
        </w:tc>
        <w:tc>
          <w:tcPr>
            <w:tcW w:w="43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山西省支持中北大学</w:t>
            </w:r>
            <w:r>
              <w:rPr>
                <w:rFonts w:ascii="仿宋" w:hAnsi="仿宋" w:eastAsia="仿宋"/>
                <w:b/>
                <w:color w:val="000000"/>
                <w:sz w:val="20"/>
                <w:szCs w:val="21"/>
              </w:rPr>
              <w:t>创建双一流</w:t>
            </w: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待遇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太原市支持中北大学</w:t>
            </w:r>
            <w:r>
              <w:rPr>
                <w:rFonts w:ascii="仿宋" w:hAnsi="仿宋" w:eastAsia="仿宋"/>
                <w:b/>
                <w:color w:val="000000"/>
                <w:sz w:val="20"/>
                <w:szCs w:val="21"/>
              </w:rPr>
              <w:t>创建双一流</w:t>
            </w: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24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4"/>
              </w:rPr>
            </w:pPr>
          </w:p>
        </w:tc>
        <w:tc>
          <w:tcPr>
            <w:tcW w:w="12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4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0"/>
                <w:szCs w:val="21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一次性科研启动经费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一次性安家费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前两年免考核绩效</w:t>
            </w:r>
          </w:p>
        </w:tc>
        <w:tc>
          <w:tcPr>
            <w:tcW w:w="87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其他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1"/>
              </w:rPr>
              <w:t>追加科研启动经费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4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Ⅰ类</w:t>
            </w:r>
          </w:p>
        </w:tc>
        <w:tc>
          <w:tcPr>
            <w:tcW w:w="126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博士毕业于世界排名前200的海外高校，或所在学科评估结果为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A及以上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的国内高校或研究机构，取得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高水平的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代表性学术成果。本科毕业于海外高校或具有博士学位授予权的国内高校。</w:t>
            </w:r>
          </w:p>
        </w:tc>
        <w:tc>
          <w:tcPr>
            <w:tcW w:w="29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</w:rPr>
              <w:t>各类别</w:t>
            </w:r>
            <w:r>
              <w:rPr>
                <w:rFonts w:ascii="仿宋" w:hAnsi="仿宋" w:eastAsia="仿宋"/>
                <w:color w:val="000000"/>
                <w:sz w:val="18"/>
              </w:rPr>
              <w:t>业务条件由各学院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根据</w:t>
            </w:r>
            <w:r>
              <w:rPr>
                <w:rFonts w:ascii="仿宋" w:hAnsi="仿宋" w:eastAsia="仿宋"/>
                <w:color w:val="000000"/>
                <w:sz w:val="18"/>
              </w:rPr>
              <w:t>自身实际制定，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应聘</w:t>
            </w:r>
            <w:r>
              <w:rPr>
                <w:rFonts w:ascii="仿宋" w:hAnsi="仿宋" w:eastAsia="仿宋"/>
                <w:color w:val="000000"/>
                <w:sz w:val="18"/>
              </w:rPr>
              <w:t>人员代表性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学术</w:t>
            </w:r>
            <w:r>
              <w:rPr>
                <w:rFonts w:ascii="仿宋" w:hAnsi="仿宋" w:eastAsia="仿宋"/>
                <w:color w:val="000000"/>
                <w:sz w:val="18"/>
              </w:rPr>
              <w:t>成果由各学院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审核</w:t>
            </w:r>
            <w:r>
              <w:rPr>
                <w:rFonts w:ascii="仿宋" w:hAnsi="仿宋" w:eastAsia="仿宋"/>
                <w:color w:val="000000"/>
                <w:sz w:val="18"/>
              </w:rPr>
              <w:t>。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工学类30万</w:t>
            </w:r>
          </w:p>
        </w:tc>
        <w:tc>
          <w:tcPr>
            <w:tcW w:w="2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50万</w:t>
            </w:r>
          </w:p>
        </w:tc>
        <w:tc>
          <w:tcPr>
            <w:tcW w:w="3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ascii="仿宋" w:hAnsi="仿宋" w:eastAsia="仿宋"/>
                <w:color w:val="000000"/>
                <w:sz w:val="18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万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/年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根据学校住房政策及房源情况，前两年提供单身公寓或租房补贴（1500元/月）。</w:t>
            </w:r>
          </w:p>
        </w:tc>
        <w:tc>
          <w:tcPr>
            <w:tcW w:w="48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工学类30万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、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理学类20万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、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人文类10万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（以上</w:t>
            </w:r>
            <w:r>
              <w:rPr>
                <w:rFonts w:ascii="仿宋" w:hAnsi="仿宋" w:eastAsia="仿宋"/>
                <w:color w:val="000000"/>
                <w:sz w:val="18"/>
              </w:rPr>
              <w:t>为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最高追加</w:t>
            </w:r>
            <w:r>
              <w:rPr>
                <w:rFonts w:ascii="仿宋" w:hAnsi="仿宋" w:eastAsia="仿宋"/>
                <w:color w:val="000000"/>
                <w:sz w:val="18"/>
              </w:rPr>
              <w:t>金额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）</w:t>
            </w:r>
          </w:p>
        </w:tc>
        <w:tc>
          <w:tcPr>
            <w:tcW w:w="43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15万</w:t>
            </w:r>
          </w:p>
        </w:tc>
        <w:tc>
          <w:tcPr>
            <w:tcW w:w="385" w:type="pct"/>
            <w:vMerge w:val="restart"/>
            <w:vAlign w:val="center"/>
          </w:tcPr>
          <w:p>
            <w:pPr>
              <w:ind w:right="-103" w:rightChars="-49"/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43万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4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12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理学类25万</w:t>
            </w:r>
          </w:p>
        </w:tc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4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12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人文类20万</w:t>
            </w:r>
          </w:p>
        </w:tc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Ⅱ类</w:t>
            </w:r>
          </w:p>
        </w:tc>
        <w:tc>
          <w:tcPr>
            <w:tcW w:w="126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博士毕业于世界排名前400海外高校，或世界一流大学建设高校且所在学科评估结果为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B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及以上，或世界一流学科建设高校且所在学科评估结果为</w:t>
            </w:r>
            <w:r>
              <w:rPr>
                <w:rFonts w:ascii="仿宋" w:hAnsi="仿宋" w:eastAsia="仿宋"/>
                <w:color w:val="000000"/>
                <w:sz w:val="18"/>
              </w:rPr>
              <w:t>B+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及以上，取得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较高水平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的代表性学术成果。本科毕业于海外高校或具有博士学位授予权的国内高校。</w:t>
            </w: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工学类25万</w:t>
            </w:r>
          </w:p>
        </w:tc>
        <w:tc>
          <w:tcPr>
            <w:tcW w:w="2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40万</w:t>
            </w:r>
          </w:p>
        </w:tc>
        <w:tc>
          <w:tcPr>
            <w:tcW w:w="3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ascii="仿宋" w:hAnsi="仿宋" w:eastAsia="仿宋"/>
                <w:color w:val="000000"/>
                <w:sz w:val="18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万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/年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根据学校住房政策及房源情况，前两年提供单身公寓或租房补贴（1</w:t>
            </w:r>
            <w:r>
              <w:rPr>
                <w:rFonts w:ascii="仿宋" w:hAnsi="仿宋" w:eastAsia="仿宋"/>
                <w:color w:val="000000"/>
                <w:sz w:val="18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00元/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月）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。</w:t>
            </w: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12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理学类20万</w:t>
            </w:r>
          </w:p>
        </w:tc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4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12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人文类15万</w:t>
            </w:r>
          </w:p>
        </w:tc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4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Ⅲ类</w:t>
            </w:r>
          </w:p>
        </w:tc>
        <w:tc>
          <w:tcPr>
            <w:tcW w:w="126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博士毕业于世界排名前800海外高校，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或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双一流建设学科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或所在学科评估结果为B</w:t>
            </w:r>
            <w:r>
              <w:rPr>
                <w:rFonts w:ascii="仿宋" w:hAnsi="仿宋" w:eastAsia="仿宋"/>
                <w:color w:val="000000"/>
                <w:sz w:val="18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及以上的国内高校或科研机构，取得一定的代表性学术成果。本科毕业于海外高校或具有博士学位授予权的国内高校。</w:t>
            </w: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工学类12万</w:t>
            </w:r>
          </w:p>
        </w:tc>
        <w:tc>
          <w:tcPr>
            <w:tcW w:w="2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25万</w:t>
            </w:r>
          </w:p>
        </w:tc>
        <w:tc>
          <w:tcPr>
            <w:tcW w:w="3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ascii="仿宋" w:hAnsi="仿宋" w:eastAsia="仿宋"/>
                <w:color w:val="000000"/>
                <w:sz w:val="18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万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/年</w:t>
            </w: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12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理学类10万</w:t>
            </w:r>
          </w:p>
        </w:tc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12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人文类8万</w:t>
            </w:r>
          </w:p>
        </w:tc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4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Ⅳ类</w:t>
            </w:r>
          </w:p>
        </w:tc>
        <w:tc>
          <w:tcPr>
            <w:tcW w:w="126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博士毕业于所在学科评估结果为</w:t>
            </w:r>
            <w:r>
              <w:rPr>
                <w:rFonts w:ascii="仿宋" w:hAnsi="仿宋" w:eastAsia="仿宋"/>
                <w:color w:val="000000"/>
                <w:sz w:val="18"/>
              </w:rPr>
              <w:t>C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及以上的国内高校或科研机构,兵器科学与技术学科毕业的博士学科评估结果应不低于中北大学，取得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相关领域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的代表性学术成果。本科毕业于海外高校或具有博士学位授予权的国内高校。</w:t>
            </w: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工学类10万</w:t>
            </w:r>
          </w:p>
        </w:tc>
        <w:tc>
          <w:tcPr>
            <w:tcW w:w="2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20万</w:t>
            </w:r>
          </w:p>
        </w:tc>
        <w:tc>
          <w:tcPr>
            <w:tcW w:w="3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ascii="仿宋" w:hAnsi="仿宋" w:eastAsia="仿宋"/>
                <w:color w:val="000000"/>
                <w:sz w:val="18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万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/年</w:t>
            </w: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12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理学类8万</w:t>
            </w:r>
          </w:p>
        </w:tc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4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12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人文类5万</w:t>
            </w:r>
          </w:p>
        </w:tc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4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Ⅴ类</w:t>
            </w:r>
          </w:p>
        </w:tc>
        <w:tc>
          <w:tcPr>
            <w:tcW w:w="126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其他无法纳入上述四类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急需</w:t>
            </w:r>
            <w:r>
              <w:rPr>
                <w:rFonts w:ascii="仿宋" w:hAnsi="仿宋" w:eastAsia="仿宋"/>
                <w:color w:val="000000"/>
                <w:sz w:val="18"/>
              </w:rPr>
              <w:t>紧缺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学科（计算机</w:t>
            </w:r>
            <w:r>
              <w:rPr>
                <w:rFonts w:ascii="仿宋" w:hAnsi="仿宋" w:eastAsia="仿宋"/>
                <w:color w:val="000000"/>
                <w:sz w:val="18"/>
              </w:rPr>
              <w:t>科学与技术、软件工程、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文学</w:t>
            </w:r>
            <w:r>
              <w:rPr>
                <w:rFonts w:ascii="仿宋" w:hAnsi="仿宋" w:eastAsia="仿宋"/>
                <w:color w:val="000000"/>
                <w:sz w:val="18"/>
              </w:rPr>
              <w:t>、体育学、艺术学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马克思主义</w:t>
            </w:r>
            <w:r>
              <w:rPr>
                <w:rFonts w:ascii="仿宋" w:hAnsi="仿宋" w:eastAsia="仿宋"/>
                <w:color w:val="000000"/>
                <w:sz w:val="18"/>
              </w:rPr>
              <w:t>理论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优秀博士毕业生。</w:t>
            </w: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工学类8万</w:t>
            </w:r>
          </w:p>
        </w:tc>
        <w:tc>
          <w:tcPr>
            <w:tcW w:w="2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15万</w:t>
            </w:r>
          </w:p>
        </w:tc>
        <w:tc>
          <w:tcPr>
            <w:tcW w:w="3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ascii="仿宋" w:hAnsi="仿宋" w:eastAsia="仿宋"/>
                <w:color w:val="000000"/>
                <w:sz w:val="18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万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/年</w:t>
            </w: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12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理学类5万</w:t>
            </w:r>
          </w:p>
        </w:tc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126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20"/>
              </w:rPr>
              <w:t>人文类4万</w:t>
            </w:r>
          </w:p>
        </w:tc>
        <w:tc>
          <w:tcPr>
            <w:tcW w:w="2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  <w:tc>
          <w:tcPr>
            <w:tcW w:w="3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</w:rPr>
              <w:t>Ⅵ类</w:t>
            </w:r>
          </w:p>
        </w:tc>
        <w:tc>
          <w:tcPr>
            <w:tcW w:w="12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</w:rPr>
              <w:t>能力</w:t>
            </w:r>
            <w:r>
              <w:rPr>
                <w:rFonts w:ascii="仿宋" w:hAnsi="仿宋" w:eastAsia="仿宋"/>
                <w:color w:val="000000"/>
                <w:sz w:val="18"/>
              </w:rPr>
              <w:t>特别突出、业绩特别优秀、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发展潜力</w:t>
            </w:r>
            <w:r>
              <w:rPr>
                <w:rFonts w:ascii="仿宋" w:hAnsi="仿宋" w:eastAsia="仿宋"/>
                <w:color w:val="000000"/>
                <w:sz w:val="18"/>
              </w:rPr>
              <w:t>特别巨大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的</w:t>
            </w:r>
            <w:r>
              <w:rPr>
                <w:rFonts w:ascii="仿宋" w:hAnsi="仿宋" w:eastAsia="仿宋"/>
                <w:color w:val="000000"/>
                <w:sz w:val="18"/>
              </w:rPr>
              <w:t>各学科</w:t>
            </w:r>
            <w:r>
              <w:rPr>
                <w:rFonts w:hint="eastAsia" w:ascii="仿宋" w:hAnsi="仿宋" w:eastAsia="仿宋"/>
                <w:color w:val="000000"/>
                <w:sz w:val="18"/>
              </w:rPr>
              <w:t>优秀</w:t>
            </w:r>
            <w:r>
              <w:rPr>
                <w:rFonts w:ascii="仿宋" w:hAnsi="仿宋" w:eastAsia="仿宋"/>
                <w:color w:val="000000"/>
                <w:sz w:val="18"/>
              </w:rPr>
              <w:t>博士毕业生。</w:t>
            </w: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</w:rPr>
            </w:pPr>
          </w:p>
        </w:tc>
        <w:tc>
          <w:tcPr>
            <w:tcW w:w="3203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>一事一议</w:t>
            </w:r>
          </w:p>
        </w:tc>
      </w:tr>
    </w:tbl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jc w:val="left"/>
        <w:rPr>
          <w:rFonts w:ascii="宋体" w:hAnsi="宋体" w:eastAsia="宋体" w:cs="宋体"/>
          <w:color w:val="444444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</w:rPr>
        <w:t>备注：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firstLine="480" w:firstLineChars="200"/>
        <w:jc w:val="left"/>
        <w:rPr>
          <w:rFonts w:ascii="宋体" w:hAnsi="宋体" w:eastAsia="宋体" w:cs="宋体"/>
          <w:color w:val="444444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</w:rPr>
        <w:t>1.录用人员纳入事业单位编制。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firstLine="480" w:firstLineChars="200"/>
        <w:jc w:val="left"/>
        <w:rPr>
          <w:rFonts w:ascii="宋体" w:hAnsi="宋体" w:eastAsia="宋体" w:cs="宋体"/>
          <w:color w:val="444444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</w:rPr>
        <w:t>2.Ⅰ类人才入职时聘任为校内副教授；特殊优秀人才可破格晋升教授、副教授职称。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firstLine="480" w:firstLineChars="200"/>
        <w:jc w:val="left"/>
        <w:rPr>
          <w:rFonts w:ascii="宋体" w:hAnsi="宋体" w:eastAsia="宋体" w:cs="宋体"/>
          <w:color w:val="444444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</w:rPr>
        <w:t>3.Ⅰ类人才以人事派遣形式解决配偶校内工作。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ind w:firstLine="480" w:firstLineChars="200"/>
        <w:jc w:val="left"/>
        <w:rPr>
          <w:rFonts w:ascii="宋体" w:hAnsi="宋体" w:eastAsia="宋体" w:cs="宋体"/>
          <w:color w:val="444444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</w:rPr>
        <w:t>4.提供优质的附属幼儿园（省五星幼儿园）、附属中小学（具有省一流义务教育教学资源）教育。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444444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</w:rPr>
        <w:t>5.未参加教育部学科评估的院校和科研机构的博士毕业生、VI类博士毕业生、其他无法划定类别或学科急需的人员按照“一事一议”、“一人一议”程序执行。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444444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</w:rPr>
        <w:t>6.以上所述待遇及政策如有变动，以最新政策为准。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C3948"/>
    <w:rsid w:val="36F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2022-01-28T02:25:00Z</dcterms:created>
  <dc:creator>麻花</dc:creator>
  <cp:lastModifiedBy>麻花</cp:lastModifiedBy>
  <dcterms:modified xsi:type="dcterms:W3CDTF">2022-01-28T02:26:57Z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A6556F5067CE46C2B64F75C97E291828</vt:lpwstr>
  </property>
</Properties>
</file>