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微软雅黑" w:eastAsia="仿宋_GB2312"/>
          <w:b/>
          <w:sz w:val="32"/>
          <w:szCs w:val="32"/>
          <w:highlight w:val="none"/>
          <w:shd w:val="clear" w:color="auto" w:fill="FFFFFF"/>
        </w:rPr>
      </w:pPr>
      <w:r>
        <w:rPr>
          <w:rFonts w:hint="eastAsia" w:ascii="仿宋_GB2312" w:hAnsi="微软雅黑" w:eastAsia="仿宋_GB2312"/>
          <w:b/>
          <w:sz w:val="32"/>
          <w:szCs w:val="32"/>
          <w:highlight w:val="none"/>
          <w:shd w:val="clear" w:color="auto" w:fill="FFFFFF"/>
        </w:rPr>
        <w:t>附件</w:t>
      </w:r>
      <w:r>
        <w:rPr>
          <w:rFonts w:ascii="仿宋_GB2312" w:hAnsi="微软雅黑" w:eastAsia="仿宋_GB2312"/>
          <w:b/>
          <w:sz w:val="32"/>
          <w:szCs w:val="32"/>
          <w:highlight w:val="none"/>
          <w:shd w:val="clear" w:color="auto" w:fill="FFFFFF"/>
        </w:rPr>
        <w:t>4</w:t>
      </w:r>
      <w:r>
        <w:rPr>
          <w:rFonts w:hint="eastAsia" w:ascii="仿宋_GB2312" w:hAnsi="微软雅黑" w:eastAsia="仿宋_GB2312"/>
          <w:b/>
          <w:sz w:val="32"/>
          <w:szCs w:val="32"/>
          <w:highlight w:val="none"/>
          <w:shd w:val="clear" w:color="auto" w:fill="FFFFFF"/>
        </w:rPr>
        <w:t>：</w:t>
      </w:r>
    </w:p>
    <w:p>
      <w:pPr>
        <w:adjustRightInd w:val="0"/>
        <w:snapToGrid w:val="0"/>
        <w:spacing w:line="640" w:lineRule="exact"/>
        <w:jc w:val="center"/>
        <w:rPr>
          <w:rFonts w:ascii="方正小标宋_GBK" w:hAnsi="方正小标宋_GBK" w:eastAsia="方正小标宋_GBK" w:cs="方正小标宋_GBK"/>
          <w:sz w:val="44"/>
          <w:szCs w:val="44"/>
          <w:highlight w:val="none"/>
          <w:lang w:bidi="ar"/>
        </w:rPr>
      </w:pPr>
      <w:r>
        <w:rPr>
          <w:rFonts w:hint="eastAsia" w:ascii="仿宋_GB2312" w:hAnsi="微软雅黑" w:eastAsia="仿宋_GB2312"/>
          <w:b/>
          <w:sz w:val="32"/>
          <w:szCs w:val="32"/>
          <w:highlight w:val="none"/>
          <w:shd w:val="clear" w:color="auto" w:fill="FFFFFF"/>
        </w:rPr>
        <w:t xml:space="preserve"> </w:t>
      </w:r>
      <w:bookmarkStart w:id="0" w:name="_GoBack"/>
      <w:bookmarkEnd w:id="0"/>
      <w:r>
        <w:rPr>
          <w:rFonts w:ascii="方正小标宋_GBK" w:hAnsi="方正小标宋_GBK" w:eastAsia="方正小标宋_GBK" w:cs="方正小标宋_GBK"/>
          <w:sz w:val="44"/>
          <w:szCs w:val="44"/>
          <w:highlight w:val="none"/>
          <w:lang w:bidi="ar"/>
        </w:rPr>
        <w:t>考生健康申报表</w:t>
      </w:r>
    </w:p>
    <w:p>
      <w:pPr>
        <w:adjustRightInd w:val="0"/>
        <w:snapToGrid w:val="0"/>
        <w:spacing w:line="640" w:lineRule="exact"/>
        <w:jc w:val="center"/>
        <w:rPr>
          <w:rFonts w:ascii="Times New Roman" w:hAnsi="Times New Roman" w:eastAsia="仿宋_GB2312" w:cs="Times New Roman"/>
          <w:sz w:val="32"/>
          <w:szCs w:val="32"/>
          <w:highlight w:val="none"/>
        </w:rPr>
      </w:pPr>
    </w:p>
    <w:tbl>
      <w:tblPr>
        <w:tblStyle w:val="3"/>
        <w:tblW w:w="9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33"/>
        <w:gridCol w:w="1060"/>
        <w:gridCol w:w="1417"/>
        <w:gridCol w:w="100"/>
        <w:gridCol w:w="1186"/>
        <w:gridCol w:w="44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姓名</w:t>
            </w:r>
          </w:p>
        </w:tc>
        <w:tc>
          <w:tcPr>
            <w:tcW w:w="163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性别</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c>
          <w:tcPr>
            <w:tcW w:w="128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年龄</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拟</w:t>
            </w:r>
            <w:r>
              <w:rPr>
                <w:rFonts w:hint="eastAsia" w:ascii="仿宋_GB2312" w:hAnsi="Times New Roman" w:eastAsia="仿宋_GB2312" w:cs="仿宋_GB2312"/>
                <w:sz w:val="24"/>
                <w:szCs w:val="24"/>
                <w:highlight w:val="none"/>
                <w:lang w:bidi="ar"/>
              </w:rPr>
              <w:t>报考单位</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拟</w:t>
            </w:r>
            <w:r>
              <w:rPr>
                <w:rFonts w:hint="eastAsia" w:ascii="仿宋_GB2312" w:hAnsi="Times New Roman" w:eastAsia="仿宋_GB2312" w:cs="仿宋_GB2312"/>
                <w:sz w:val="24"/>
                <w:szCs w:val="24"/>
                <w:highlight w:val="none"/>
                <w:lang w:bidi="ar"/>
              </w:rPr>
              <w:t>报考岗位</w:t>
            </w:r>
          </w:p>
        </w:tc>
        <w:tc>
          <w:tcPr>
            <w:tcW w:w="386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身份证号码</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手机号码</w:t>
            </w:r>
          </w:p>
        </w:tc>
        <w:tc>
          <w:tcPr>
            <w:tcW w:w="386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电子邮箱</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家庭住址</w:t>
            </w:r>
          </w:p>
        </w:tc>
        <w:tc>
          <w:tcPr>
            <w:tcW w:w="386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近</w:t>
            </w:r>
            <w:r>
              <w:rPr>
                <w:rFonts w:ascii="Times New Roman" w:hAnsi="Times New Roman" w:eastAsia="仿宋_GB2312" w:cs="Times New Roman"/>
                <w:sz w:val="24"/>
                <w:szCs w:val="24"/>
                <w:highlight w:val="none"/>
                <w:lang w:bidi="ar"/>
              </w:rPr>
              <w:t>14</w:t>
            </w:r>
            <w:r>
              <w:rPr>
                <w:rFonts w:ascii="仿宋_GB2312" w:hAnsi="Times New Roman" w:eastAsia="仿宋_GB2312" w:cs="仿宋_GB2312"/>
                <w:sz w:val="24"/>
                <w:szCs w:val="24"/>
                <w:highlight w:val="none"/>
                <w:lang w:bidi="ar"/>
              </w:rPr>
              <w:t>天是否有发热、气促、呼吸道症状</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t>□</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你及共同居住人近</w:t>
            </w:r>
            <w:r>
              <w:rPr>
                <w:rFonts w:ascii="Times New Roman" w:hAnsi="Times New Roman" w:eastAsia="仿宋_GB2312" w:cs="Times New Roman"/>
                <w:sz w:val="24"/>
                <w:szCs w:val="24"/>
                <w:highlight w:val="none"/>
                <w:lang w:bidi="ar"/>
              </w:rPr>
              <w:t>14</w:t>
            </w:r>
            <w:r>
              <w:rPr>
                <w:rFonts w:ascii="仿宋_GB2312" w:hAnsi="Times New Roman" w:eastAsia="仿宋_GB2312" w:cs="仿宋_GB2312"/>
                <w:sz w:val="24"/>
                <w:szCs w:val="24"/>
                <w:highlight w:val="none"/>
                <w:lang w:bidi="ar"/>
              </w:rPr>
              <w:t>天是否去过新冠肺炎疫情中高风险地区</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sym w:font="Wingdings 2" w:char="00A3"/>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你及共同居住人近</w:t>
            </w:r>
            <w:r>
              <w:rPr>
                <w:rFonts w:ascii="Times New Roman" w:hAnsi="Times New Roman" w:eastAsia="仿宋_GB2312" w:cs="Times New Roman"/>
                <w:sz w:val="24"/>
                <w:szCs w:val="24"/>
                <w:highlight w:val="none"/>
                <w:lang w:bidi="ar"/>
              </w:rPr>
              <w:t>14</w:t>
            </w:r>
            <w:r>
              <w:rPr>
                <w:rFonts w:ascii="仿宋_GB2312" w:hAnsi="Times New Roman" w:eastAsia="仿宋_GB2312" w:cs="仿宋_GB2312"/>
                <w:sz w:val="24"/>
                <w:szCs w:val="24"/>
                <w:highlight w:val="none"/>
                <w:lang w:bidi="ar"/>
              </w:rPr>
              <w:t>天是否去过国（境）外</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sym w:font="Wingdings 2" w:char="00A3"/>
            </w:r>
            <w:r>
              <w:rPr>
                <w:rFonts w:ascii="仿宋_GB2312" w:hAnsi="Times New Roman" w:eastAsia="仿宋_GB2312" w:cs="仿宋_GB2312"/>
                <w:sz w:val="24"/>
                <w:szCs w:val="24"/>
                <w:highlight w:val="none"/>
                <w:lang w:bidi="ar"/>
              </w:rPr>
              <w:t>：</w:t>
            </w:r>
            <w:r>
              <w:rPr>
                <w:rFonts w:ascii="Times New Roman" w:hAnsi="Times New Roman" w:eastAsia="仿宋_GB2312" w:cs="Times New Roman"/>
                <w:sz w:val="24"/>
                <w:szCs w:val="24"/>
                <w:highlight w:val="none"/>
                <w:lang w:bidi="ar"/>
              </w:rPr>
              <w:t>____</w:t>
            </w:r>
            <w:r>
              <w:rPr>
                <w:rFonts w:ascii="仿宋_GB2312" w:hAnsi="Times New Roman" w:eastAsia="仿宋_GB2312" w:cs="仿宋_GB2312"/>
                <w:sz w:val="24"/>
                <w:szCs w:val="24"/>
                <w:highlight w:val="none"/>
                <w:lang w:bidi="ar"/>
              </w:rPr>
              <w:t>（国家）</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你及共同居住人是否与新冠肺炎确诊或疑似病例有密切接触</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t>□</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你及共同居住人近</w:t>
            </w:r>
            <w:r>
              <w:rPr>
                <w:rFonts w:ascii="Times New Roman" w:hAnsi="Times New Roman" w:eastAsia="仿宋_GB2312" w:cs="Times New Roman"/>
                <w:sz w:val="24"/>
                <w:szCs w:val="24"/>
                <w:highlight w:val="none"/>
                <w:lang w:bidi="ar"/>
              </w:rPr>
              <w:t>14</w:t>
            </w:r>
            <w:r>
              <w:rPr>
                <w:rFonts w:ascii="仿宋_GB2312" w:hAnsi="Times New Roman" w:eastAsia="仿宋_GB2312" w:cs="仿宋_GB2312"/>
                <w:sz w:val="24"/>
                <w:szCs w:val="24"/>
                <w:highlight w:val="none"/>
                <w:lang w:bidi="ar"/>
              </w:rPr>
              <w:t>天是否与来自新冠肺炎疫情中高风险地区人员有密切接触</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t>□</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你及共同居住人当前的健康状态是否有异常</w:t>
            </w:r>
          </w:p>
        </w:tc>
        <w:tc>
          <w:tcPr>
            <w:tcW w:w="270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是</w:t>
            </w:r>
            <w:r>
              <w:rPr>
                <w:rFonts w:hint="eastAsia" w:ascii="仿宋_GB2312" w:eastAsia="仿宋_GB2312" w:cs="仿宋_GB2312"/>
                <w:sz w:val="24"/>
                <w:szCs w:val="24"/>
                <w:highlight w:val="none"/>
              </w:rPr>
              <w:t>□</w:t>
            </w:r>
          </w:p>
        </w:tc>
        <w:tc>
          <w:tcPr>
            <w:tcW w:w="25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否</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4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核酸和血清检测情况</w:t>
            </w:r>
          </w:p>
        </w:tc>
        <w:tc>
          <w:tcPr>
            <w:tcW w:w="151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不需要检测</w:t>
            </w:r>
            <w:r>
              <w:rPr>
                <w:rFonts w:hint="eastAsia" w:ascii="仿宋_GB2312" w:eastAsia="仿宋_GB2312" w:cs="仿宋_GB2312"/>
                <w:sz w:val="24"/>
                <w:szCs w:val="24"/>
                <w:highlight w:val="none"/>
              </w:rPr>
              <w:t>□</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已在居住地检测</w:t>
            </w:r>
            <w:r>
              <w:rPr>
                <w:rFonts w:hint="eastAsia" w:ascii="仿宋_GB2312" w:eastAsia="仿宋_GB2312" w:cs="仿宋_GB2312"/>
                <w:sz w:val="24"/>
                <w:szCs w:val="24"/>
                <w:highlight w:val="none"/>
              </w:rPr>
              <w:t>□</w:t>
            </w:r>
          </w:p>
        </w:tc>
        <w:tc>
          <w:tcPr>
            <w:tcW w:w="21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需到目的地检测</w:t>
            </w:r>
            <w:r>
              <w:rPr>
                <w:rFonts w:hint="eastAsia" w:ascii="仿宋_GB2312" w:eastAsia="仿宋_GB2312" w:cs="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641" w:type="dxa"/>
            <w:gridSpan w:val="8"/>
            <w:tcBorders>
              <w:top w:val="single" w:color="auto" w:sz="4" w:space="0"/>
              <w:left w:val="single" w:color="auto" w:sz="4" w:space="0"/>
              <w:bottom w:val="single" w:color="auto" w:sz="4" w:space="0"/>
              <w:right w:val="single" w:color="auto" w:sz="4" w:space="0"/>
            </w:tcBorders>
            <w:shd w:val="clear" w:color="auto" w:fill="auto"/>
          </w:tcPr>
          <w:p>
            <w:pPr>
              <w:pStyle w:val="2"/>
              <w:shd w:val="clear" w:color="auto" w:fill="FFFFFF"/>
              <w:spacing w:before="0" w:beforeAutospacing="0" w:after="0" w:afterAutospacing="0" w:line="240" w:lineRule="exact"/>
              <w:rPr>
                <w:rFonts w:ascii="仿宋_GB2312" w:hAnsi="Microsoft YaHei UI" w:eastAsia="仿宋_GB2312" w:cs="仿宋_GB2312"/>
                <w:color w:val="333333"/>
                <w:spacing w:val="15"/>
                <w:sz w:val="21"/>
                <w:szCs w:val="21"/>
                <w:highlight w:val="none"/>
                <w:shd w:val="clear" w:color="auto" w:fill="FFFFFF"/>
              </w:rPr>
            </w:pPr>
            <w:r>
              <w:rPr>
                <w:rFonts w:ascii="仿宋_GB2312" w:hAnsi="Microsoft YaHei UI" w:eastAsia="仿宋_GB2312" w:cs="仿宋_GB2312"/>
                <w:color w:val="333333"/>
                <w:spacing w:val="15"/>
                <w:sz w:val="21"/>
                <w:szCs w:val="21"/>
                <w:highlight w:val="none"/>
                <w:shd w:val="clear" w:color="auto" w:fill="FFFFFF"/>
              </w:rPr>
              <w:t>备注说明：考生有下列情形之一的，不得参加考试；</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（1）考前28天内有国（境）外旅居史；</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（3）仍在隔离治疗期的新冠肺炎确诊病例、疑似病例或无症状感染者，集中隔离期未满的密切接触者和次密切接触者。</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（4）近1个月内被认定为确诊病例密切接触者、疑似病例排除者、确诊病例康复者。</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（5）考试当天，浙江“健康码”显示为红黄码，或“通信大数据行程卡”显示为非绿卡的考生（含浙江“健康码”临时由绿码变为红黄码和“通信大数据行程卡”临时由绿卡变为非绿卡的）。</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（6）考前28天内有外省旅居史的考生无法提供核酸检测阴性报告等相关证明材料，或提供材料不全或不符合要求的。</w:t>
            </w:r>
          </w:p>
          <w:p>
            <w:pPr>
              <w:pStyle w:val="2"/>
              <w:shd w:val="clear" w:color="auto" w:fill="FFFFFF"/>
              <w:spacing w:before="0" w:beforeAutospacing="0" w:after="0" w:afterAutospacing="0" w:line="240" w:lineRule="exact"/>
              <w:ind w:firstLine="640"/>
              <w:rPr>
                <w:rFonts w:ascii="Microsoft YaHei UI" w:hAnsi="Microsoft YaHei UI" w:eastAsia="Microsoft YaHei UI" w:cs="Microsoft YaHei UI"/>
                <w:color w:val="333333"/>
                <w:spacing w:val="15"/>
                <w:sz w:val="15"/>
                <w:szCs w:val="15"/>
                <w:highlight w:val="none"/>
              </w:rPr>
            </w:pPr>
            <w:r>
              <w:rPr>
                <w:rFonts w:ascii="仿宋_GB2312" w:hAnsi="Microsoft YaHei UI" w:eastAsia="仿宋_GB2312" w:cs="仿宋_GB2312"/>
                <w:color w:val="333333"/>
                <w:spacing w:val="15"/>
                <w:sz w:val="21"/>
                <w:szCs w:val="21"/>
                <w:highlight w:val="none"/>
                <w:shd w:val="clear" w:color="auto" w:fill="FFFFFF"/>
              </w:rPr>
              <w:t>（7）“通信大数据行程卡”带*号的考生无法提供核酸检测阴性报告等相关证明材料，或提供材料不全或不符合要求的。</w:t>
            </w:r>
          </w:p>
          <w:p>
            <w:pPr>
              <w:pStyle w:val="2"/>
              <w:shd w:val="clear" w:color="auto" w:fill="FFFFFF"/>
              <w:spacing w:before="0" w:beforeAutospacing="0" w:after="0" w:afterAutospacing="0" w:line="240" w:lineRule="exact"/>
              <w:ind w:firstLine="640"/>
              <w:rPr>
                <w:rFonts w:ascii="Times New Roman" w:hAnsi="Times New Roman" w:eastAsia="仿宋_GB2312" w:cs="Times New Roman"/>
                <w:kern w:val="2"/>
                <w:highlight w:val="none"/>
              </w:rPr>
            </w:pPr>
            <w:r>
              <w:rPr>
                <w:rFonts w:ascii="仿宋_GB2312" w:hAnsi="Microsoft YaHei UI" w:eastAsia="仿宋_GB2312" w:cs="仿宋_GB2312"/>
                <w:color w:val="333333"/>
                <w:spacing w:val="15"/>
                <w:sz w:val="21"/>
                <w:szCs w:val="21"/>
                <w:highlight w:val="none"/>
                <w:shd w:val="clear" w:color="auto" w:fill="FFFFFF"/>
              </w:rPr>
              <w:t>（8）不能出示浙江“健康码”及“通信大数据行程卡”、不配合入口检测、不服从防疫管理以及经现场防疫人员判断须转送至定点医疗机构排查等情形的。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64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
              <w:shd w:val="clear" w:color="auto" w:fill="FFFFFF"/>
              <w:spacing w:before="0" w:beforeAutospacing="0" w:after="0" w:afterAutospacing="0" w:line="240" w:lineRule="exact"/>
              <w:ind w:firstLine="640"/>
              <w:rPr>
                <w:rFonts w:ascii="仿宋_GB2312" w:hAnsi="Microsoft YaHei UI" w:eastAsia="仿宋_GB2312" w:cs="仿宋_GB2312"/>
                <w:color w:val="333333"/>
                <w:spacing w:val="15"/>
                <w:sz w:val="21"/>
                <w:szCs w:val="21"/>
                <w:highlight w:val="none"/>
                <w:shd w:val="clear" w:color="auto" w:fill="FFFFFF"/>
              </w:rPr>
            </w:pPr>
            <w:r>
              <w:rPr>
                <w:rFonts w:ascii="仿宋_GB2312" w:hAnsi="Microsoft YaHei UI" w:eastAsia="仿宋_GB2312" w:cs="仿宋_GB2312"/>
                <w:color w:val="333333"/>
                <w:spacing w:val="15"/>
                <w:sz w:val="21"/>
                <w:szCs w:val="21"/>
                <w:highlight w:val="none"/>
                <w:shd w:val="clear" w:color="auto" w:fill="FFFFFF"/>
              </w:rPr>
              <w:t>本人对上述健康信息的真实性负责，承诺不存在上述“备注说明中不得参加考试的有关情形”。如因提供不实信息造成疫情传播、流行，本人愿承担由此带来的相关法律责任。</w:t>
            </w:r>
          </w:p>
          <w:p>
            <w:pPr>
              <w:ind w:firstLine="5760" w:firstLineChars="2400"/>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申报人：</w:t>
            </w:r>
          </w:p>
          <w:p>
            <w:pPr>
              <w:rPr>
                <w:rFonts w:ascii="Times New Roman" w:hAnsi="Times New Roman" w:eastAsia="仿宋_GB2312" w:cs="Times New Roman"/>
                <w:sz w:val="24"/>
                <w:szCs w:val="24"/>
                <w:highlight w:val="none"/>
              </w:rPr>
            </w:pPr>
          </w:p>
          <w:p>
            <w:pPr>
              <w:jc w:val="center"/>
              <w:rPr>
                <w:rFonts w:ascii="Times New Roman" w:hAnsi="Times New Roman" w:eastAsia="仿宋_GB2312" w:cs="Times New Roman"/>
                <w:sz w:val="24"/>
                <w:szCs w:val="24"/>
                <w:highlight w:val="none"/>
              </w:rPr>
            </w:pPr>
            <w:r>
              <w:rPr>
                <w:rFonts w:ascii="仿宋_GB2312" w:hAnsi="Times New Roman" w:eastAsia="仿宋_GB2312" w:cs="仿宋_GB2312"/>
                <w:sz w:val="24"/>
                <w:szCs w:val="24"/>
                <w:highlight w:val="none"/>
                <w:lang w:bidi="ar"/>
              </w:rPr>
              <w:t xml:space="preserve">                                          年     月     日</w:t>
            </w:r>
          </w:p>
        </w:tc>
      </w:tr>
    </w:tbl>
    <w:p/>
    <w:sectPr>
      <w:pgSz w:w="11906" w:h="16838"/>
      <w:pgMar w:top="1134" w:right="1797" w:bottom="907"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57E42"/>
    <w:rsid w:val="2E357E42"/>
    <w:rsid w:val="739A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2021-11-26T11:07:00Z</dcterms:created>
  <dc:creator>丁晔(dingye)/nbjbq</dc:creator>
  <cp:lastModifiedBy>丁晔(dingye)/nbjbq</cp:lastModifiedBy>
  <dcterms:modified xsi:type="dcterms:W3CDTF">2021-11-26T11:08:08Z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