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 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20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44"/>
          <w:szCs w:val="44"/>
        </w:rPr>
        <w:t>年芜湖市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交通运输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局</w:t>
      </w:r>
      <w:r>
        <w:rPr>
          <w:rFonts w:hint="eastAsia" w:eastAsia="方正小标宋简体"/>
          <w:bCs/>
          <w:color w:val="auto"/>
          <w:sz w:val="44"/>
          <w:szCs w:val="44"/>
        </w:rPr>
        <w:t>赴全国重点院校公开招聘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44"/>
          <w:szCs w:val="44"/>
        </w:rPr>
        <w:t>应届毕业生计划</w:t>
      </w:r>
    </w:p>
    <w:tbl>
      <w:tblPr>
        <w:tblStyle w:val="4"/>
        <w:tblW w:w="13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82"/>
        <w:gridCol w:w="2056"/>
        <w:gridCol w:w="1076"/>
        <w:gridCol w:w="919"/>
        <w:gridCol w:w="816"/>
        <w:gridCol w:w="751"/>
        <w:gridCol w:w="370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78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561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招聘岗位条件</w:t>
            </w:r>
          </w:p>
        </w:tc>
        <w:tc>
          <w:tcPr>
            <w:tcW w:w="37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 xml:space="preserve">招聘院校 </w:t>
            </w:r>
          </w:p>
        </w:tc>
        <w:tc>
          <w:tcPr>
            <w:tcW w:w="232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8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37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0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0"/>
                <w:lang w:val="en-US" w:eastAsia="zh-CN"/>
              </w:rPr>
              <w:t>芜湖市交通运输综合行政执法支队</w:t>
            </w:r>
          </w:p>
        </w:tc>
        <w:tc>
          <w:tcPr>
            <w:tcW w:w="7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交通运输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及以上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学士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及以上</w:t>
            </w:r>
          </w:p>
        </w:tc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专业技术岗位</w:t>
            </w:r>
          </w:p>
        </w:tc>
        <w:tc>
          <w:tcPr>
            <w:tcW w:w="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30周岁以下</w:t>
            </w:r>
          </w:p>
        </w:tc>
        <w:tc>
          <w:tcPr>
            <w:tcW w:w="37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南京航空航天大学</w:t>
            </w:r>
          </w:p>
        </w:tc>
        <w:tc>
          <w:tcPr>
            <w:tcW w:w="23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专业方向为民航运输管理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1"/>
                <w:lang w:val="en-US" w:eastAsia="zh-CN"/>
              </w:rPr>
              <w:t>计算机科学与技术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及以上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学士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及以上</w:t>
            </w:r>
          </w:p>
        </w:tc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专业技术岗位</w:t>
            </w:r>
          </w:p>
        </w:tc>
        <w:tc>
          <w:tcPr>
            <w:tcW w:w="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30周岁以下</w:t>
            </w:r>
          </w:p>
        </w:tc>
        <w:tc>
          <w:tcPr>
            <w:tcW w:w="37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南京航空航天大学</w:t>
            </w:r>
          </w:p>
        </w:tc>
        <w:tc>
          <w:tcPr>
            <w:tcW w:w="23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7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</w:p>
        </w:tc>
        <w:tc>
          <w:tcPr>
            <w:tcW w:w="932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7353"/>
    <w:rsid w:val="0F3A7BE5"/>
    <w:rsid w:val="623836A8"/>
    <w:rsid w:val="69237353"/>
    <w:rsid w:val="7AB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2020-11-10T02:43:00Z</dcterms:created>
  <dc:creator>Administrator</dc:creator>
  <cp:lastModifiedBy>子青</cp:lastModifiedBy>
  <dcterms:modified xsi:type="dcterms:W3CDTF">2021-10-22T09:38:33Z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1DFD80E6136F4AFD84EBA5B04AF3FC50</vt:lpwstr>
  </property>
</Properties>
</file>