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ind w:firstLine="643"/>
        <w:rPr>
          <w:b w:val="1"/>
          <w:color w:val="333333"/>
          <w:sz w:val="32"/>
          <w:szCs w:val="32"/>
          <w:rFonts w:ascii="Arial" w:hAnsi="Arial" w:cs="Arial"/>
        </w:rPr>
      </w:pPr>
    </w:p>
    <w:p>
      <w:pPr>
        <w:ind w:firstLine="560"/>
        <w:rPr>
          <w:color w:val="333333"/>
          <w:sz w:val="28"/>
          <w:szCs w:val="28"/>
          <w:rFonts w:ascii="Arial" w:hAnsi="Arial" w:cs="Arial"/>
        </w:rPr>
      </w:pPr>
    </w:p>
    <w:p>
      <w:pPr>
        <w:ind w:firstLine="560"/>
        <w:rPr>
          <w:color w:val="333333"/>
          <w:sz w:val="28"/>
          <w:szCs w:val="28"/>
          <w:rFonts w:ascii="Arial" w:hAnsi="Arial" w:cs="Arial"/>
        </w:rPr>
      </w:pPr>
      <w:r>
        <w:rPr>
          <w:color w:val="333333"/>
          <w:sz w:val="28"/>
          <w:szCs w:val="28"/>
          <w:rFonts w:ascii="Arial" w:hAnsi="Arial" w:cs="Arial" w:hint="eastAsia"/>
        </w:rPr>
        <w:t>附表：</w:t>
      </w: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9796" w:type="dxa"/>
        <w:tblInd w:w="93" w:type="dxa"/>
        <w:tblLook w:val="0004A0" w:firstRow="1" w:lastRow="0" w:firstColumn="1" w:lastColumn="0" w:noHBand="0" w:noVBand="1"/>
        <w:tblLayout w:type="fixed"/>
      </w:tblPr>
      <w:tblGrid>
        <w:gridCol w:w="571"/>
        <w:gridCol w:w="587"/>
        <w:gridCol w:w="571"/>
        <w:gridCol w:w="738"/>
        <w:gridCol w:w="505"/>
        <w:gridCol w:w="505"/>
        <w:gridCol w:w="1339"/>
        <w:gridCol w:w="538"/>
        <w:gridCol w:w="586"/>
        <w:gridCol w:w="489"/>
        <w:gridCol w:w="816"/>
        <w:gridCol w:w="816"/>
        <w:gridCol w:w="603"/>
        <w:gridCol w:w="113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825"/>
        </w:trPr>
        <w:tc>
          <w:tcPr>
            <w:tcW w:type="dxa" w:w="571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招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聘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单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位</w:t>
            </w:r>
          </w:p>
        </w:tc>
        <w:tc>
          <w:tcPr>
            <w:tcW w:type="dxa" w:w="58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岗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位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br/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名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称</w:t>
            </w:r>
          </w:p>
        </w:tc>
        <w:tc>
          <w:tcPr>
            <w:tcW w:type="dxa" w:w="57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岗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位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类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别</w:t>
            </w:r>
          </w:p>
        </w:tc>
        <w:tc>
          <w:tcPr>
            <w:tcW w:type="dxa" w:w="73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岗位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br/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描述</w:t>
            </w:r>
          </w:p>
        </w:tc>
        <w:tc>
          <w:tcPr>
            <w:tcW w:type="dxa" w:w="50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招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聘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人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数</w:t>
            </w:r>
          </w:p>
        </w:tc>
        <w:tc>
          <w:tcPr>
            <w:tcW w:type="dxa" w:w="50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开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考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比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例</w:t>
            </w:r>
          </w:p>
        </w:tc>
        <w:tc>
          <w:tcPr>
            <w:tcW w:type="dxa" w:w="133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专业要求</w:t>
            </w:r>
          </w:p>
        </w:tc>
        <w:tc>
          <w:tcPr>
            <w:tcW w:type="dxa" w:w="53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学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历</w:t>
            </w:r>
          </w:p>
        </w:tc>
        <w:tc>
          <w:tcPr>
            <w:tcW w:type="dxa" w:w="58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学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位</w:t>
            </w:r>
          </w:p>
        </w:tc>
        <w:tc>
          <w:tcPr>
            <w:tcW w:type="dxa" w:w="48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招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聘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对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象</w:t>
            </w:r>
          </w:p>
        </w:tc>
        <w:tc>
          <w:tcPr>
            <w:tcW w:type="dxa" w:w="81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其他资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格条件</w:t>
            </w:r>
          </w:p>
        </w:tc>
        <w:tc>
          <w:tcPr>
            <w:tcW w:type="dxa" w:w="81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考核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br/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方式</w:t>
            </w:r>
          </w:p>
        </w:tc>
        <w:tc>
          <w:tcPr>
            <w:tcW w:type="dxa" w:w="60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其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他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说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明</w:t>
            </w:r>
          </w:p>
        </w:tc>
        <w:tc>
          <w:tcPr>
            <w:tcW w:type="dxa" w:w="1132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政策咨询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联系方式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400"/>
        </w:trPr>
        <w:tc>
          <w:tcPr>
            <w:tcW w:type="dxa" w:w="57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生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物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医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学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工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程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与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信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息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学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院</w:t>
            </w:r>
          </w:p>
        </w:tc>
        <w:tc>
          <w:tcPr>
            <w:tcW w:type="dxa" w:w="58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教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辅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实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验</w:t>
            </w:r>
          </w:p>
        </w:tc>
        <w:tc>
          <w:tcPr>
            <w:tcW w:type="dxa" w:w="57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其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他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专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技</w:t>
            </w:r>
          </w:p>
        </w:tc>
        <w:tc>
          <w:tcPr>
            <w:tcW w:type="dxa" w:w="73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主要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承担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物理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学科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的实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验准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备、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带教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及实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验室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管理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工作</w:t>
            </w:r>
          </w:p>
        </w:tc>
        <w:tc>
          <w:tcPr>
            <w:tcW w:type="dxa" w:w="5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1</w:t>
            </w:r>
          </w:p>
        </w:tc>
        <w:tc>
          <w:tcPr>
            <w:tcW w:type="dxa" w:w="5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不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设</w:t>
            </w:r>
          </w:p>
        </w:tc>
        <w:tc>
          <w:tcPr>
            <w:tcW w:type="dxa" w:w="13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理论物理，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粒子物理与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原子核物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理，原子与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分子物理，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凝聚态物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理，声学，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光学，无线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电物理，生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物物理学，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力学，物理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电子学，微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电子学与固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体电子学，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材料学</w:t>
            </w:r>
          </w:p>
        </w:tc>
        <w:tc>
          <w:tcPr>
            <w:tcW w:type="dxa" w:w="53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硕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士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研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究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生</w:t>
            </w:r>
          </w:p>
        </w:tc>
        <w:tc>
          <w:tcPr>
            <w:tcW w:type="dxa" w:w="58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相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应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学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历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学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位</w:t>
            </w:r>
          </w:p>
        </w:tc>
        <w:tc>
          <w:tcPr>
            <w:tcW w:type="dxa" w:w="48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应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届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毕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业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生</w:t>
            </w:r>
          </w:p>
        </w:tc>
        <w:tc>
          <w:tcPr>
            <w:tcW w:type="dxa" w:w="8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30周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岁以下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（199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1年1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月1日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后出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生）</w:t>
            </w:r>
          </w:p>
        </w:tc>
        <w:tc>
          <w:tcPr>
            <w:tcW w:type="dxa" w:w="8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面试权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重:60%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br/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考核权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重:40%</w:t>
            </w:r>
          </w:p>
        </w:tc>
        <w:tc>
          <w:tcPr>
            <w:tcW w:type="dxa" w:w="60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人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事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br/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代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理</w:t>
            </w:r>
          </w:p>
        </w:tc>
        <w:tc>
          <w:tcPr>
            <w:tcW w:type="dxa" w:w="113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程瑗：025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-86869533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；地址：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南京市江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宁区龙眠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大道101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号；邮编</w:t>
            </w:r>
            <w:r>
              <w:rPr>
                <w:color w:val="000000"/>
                <w:sz w:val="20"/>
                <w:szCs w:val="20"/>
                <w:rFonts w:ascii="宋体" w:eastAsia="宋体" w:hAnsi="宋体" w:cs="宋体" w:hint="eastAsia"/>
              </w:rPr>
              <w:t>：211166</w:t>
            </w:r>
          </w:p>
        </w:tc>
      </w:tr>
    </w:tbl>
    <w:p>
      <w:pPr>
        <w:ind w:firstLine="560"/>
        <w:rPr>
          <w:color w:val="333333"/>
          <w:sz w:val="28"/>
          <w:szCs w:val="28"/>
          <w:rFonts w:ascii="Arial" w:hAnsi="Arial" w:cs="Arial"/>
        </w:rPr>
      </w:pPr>
      <w:r>
        <w:rPr>
          <w:color w:val="333333"/>
          <w:sz w:val="28"/>
          <w:szCs w:val="28"/>
          <w:rFonts w:ascii="Arial" w:hAnsi="Arial" w:cs="Arial" w:hint="eastAsia"/>
        </w:rPr>
        <w:t xml:space="preserve">备注：本次招聘的专业要求参照 《江苏省2021年度考试录用公务</w:t>
      </w:r>
      <w:r>
        <w:rPr>
          <w:color w:val="333333"/>
          <w:sz w:val="28"/>
          <w:szCs w:val="28"/>
          <w:rFonts w:ascii="Arial" w:hAnsi="Arial" w:cs="Arial" w:hint="eastAsia"/>
        </w:rPr>
        <w:t>员专业参考目录》执行。</w:t>
      </w:r>
    </w:p>
    <w:p>
      <w:pPr>
        <w:ind w:firstLine="560"/>
        <w:rPr>
          <w:color w:val="333333"/>
          <w:sz w:val="28"/>
          <w:szCs w:val="28"/>
          <w:rFonts w:ascii="Arial" w:hAnsi="Arial" w:cs="Arial"/>
        </w:rPr>
      </w:pPr>
    </w:p>
    <w:p>
      <w:pPr>
        <w:ind w:firstLine="560"/>
        <w:rPr>
          <w:color w:val="333333"/>
          <w:sz w:val="28"/>
          <w:szCs w:val="28"/>
          <w:rFonts w:ascii="Arial" w:hAnsi="Arial" w:cs="Arial"/>
        </w:rPr>
      </w:pPr>
    </w:p>
    <w:p>
      <w:pPr>
        <w:ind w:firstLine="560"/>
        <w:rPr>
          <w:color w:val="333333"/>
          <w:sz w:val="28"/>
          <w:szCs w:val="28"/>
          <w:rFonts w:ascii="Arial" w:hAnsi="Arial" w:cs="Arial"/>
        </w:rPr>
      </w:pPr>
    </w:p>
    <w:p>
      <w:pPr>
        <w:ind w:firstLine="560"/>
        <w:rPr>
          <w:sz w:val="28"/>
          <w:szCs w:val="28"/>
        </w:rPr>
      </w:pPr>
      <w:r>
        <w:rPr>
          <w:color w:val="333333"/>
          <w:sz w:val="28"/>
          <w:szCs w:val="28"/>
          <w:rFonts w:ascii="Arial" w:hAnsi="Arial" w:cs="Arial" w:hint="eastAsia"/>
        </w:rPr>
        <w:t xml:space="preserve">                                 </w:t>
      </w:r>
    </w:p>
    <w:sectPr>
      <w:pgSz w:w="11906" w:h="16838"/>
      <w:pgMar w:top="1134" w:left="1560" w:bottom="993" w:right="1558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134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2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z w:val="21"/>
        <w:szCs w:val="21"/>
        <w:rFonts w:asciiTheme="minorHAnsi" w:eastAsiaTheme="minorEastAsia" w:hAnsiTheme="minorHAnsi" w:cstheme="minorBidi"/>
        <w:lang w:bidi="ar-SA" w:eastAsia="zh-CN" w:val="en-US"/>
      </w:rPr>
    </w:rPrDefault>
  </w:docDefaults>
  <w:style w:default="1" w:styleId="PO1" w:type="paragraph">
    <w:name w:val="Normal"/>
    <w:qFormat/>
    <w:uiPriority w:val="1"/>
    <w:pPr>
      <w:jc w:val="both"/>
      <w:rPr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151" w:type="character">
    <w:name w:val="annotation reference"/>
    <w:basedOn w:val="PO2"/>
    <w:uiPriority w:val="151"/>
    <w:semiHidden/>
    <w:unhideWhenUsed/>
    <w:rPr>
      <w:sz w:val="21"/>
      <w:szCs w:val="21"/>
    </w:rPr>
  </w:style>
  <w:style w:styleId="PO152" w:type="paragraph">
    <w:name w:val="annotation text"/>
    <w:basedOn w:val="PO1"/>
    <w:link w:val="PO153"/>
    <w:uiPriority w:val="152"/>
    <w:semiHidden/>
    <w:unhideWhenUsed/>
    <w:pPr>
      <w:jc w:val="left"/>
      <w:rPr/>
    </w:pPr>
  </w:style>
  <w:style w:customStyle="1" w:styleId="PO153" w:type="character">
    <w:name w:val="批注文字 Char"/>
    <w:basedOn w:val="PO2"/>
    <w:link w:val="PO152"/>
    <w:uiPriority w:val="153"/>
    <w:semiHidden/>
  </w:style>
  <w:style w:styleId="PO154" w:type="paragraph">
    <w:name w:val="Balloon Text"/>
    <w:basedOn w:val="PO1"/>
    <w:link w:val="PO155"/>
    <w:uiPriority w:val="154"/>
    <w:semiHidden/>
    <w:unhideWhenUsed/>
    <w:rPr>
      <w:sz w:val="18"/>
      <w:szCs w:val="18"/>
    </w:rPr>
  </w:style>
  <w:style w:customStyle="1" w:styleId="PO155" w:type="character">
    <w:name w:val="批注框文本 Char"/>
    <w:basedOn w:val="PO2"/>
    <w:link w:val="PO154"/>
    <w:uiPriority w:val="155"/>
    <w:semiHidden/>
    <w:rPr>
      <w:sz w:val="18"/>
      <w:szCs w:val="18"/>
    </w:rPr>
  </w:style>
  <w:style w:styleId="PO156" w:type="paragraph">
    <w:name w:val="header"/>
    <w:basedOn w:val="PO1"/>
    <w:link w:val="PO157"/>
    <w:uiPriority w:val="156"/>
    <w:unhideWhenUsed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7" w:type="character">
    <w:name w:val="页眉 Char"/>
    <w:basedOn w:val="PO2"/>
    <w:link w:val="PO156"/>
    <w:uiPriority w:val="157"/>
    <w:rPr>
      <w:sz w:val="18"/>
      <w:szCs w:val="18"/>
    </w:rPr>
  </w:style>
  <w:style w:styleId="PO158" w:type="paragraph">
    <w:name w:val="footer"/>
    <w:basedOn w:val="PO1"/>
    <w:link w:val="PO159"/>
    <w:uiPriority w:val="158"/>
    <w:unhideWhenUsed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9" w:type="character">
    <w:name w:val="页脚 Char"/>
    <w:basedOn w:val="PO2"/>
    <w:link w:val="PO158"/>
    <w:uiPriority w:val="1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1996</Characters>
  <CharactersWithSpaces>0</CharactersWithSpaces>
  <DocSecurity>0</DocSecurity>
  <HyperlinksChanged>false</HyperlinksChanged>
  <Lines>14</Lines>
  <LinksUpToDate>false</LinksUpToDate>
  <Pages>1</Pages>
  <Paragraphs>3</Paragraphs>
  <Words>298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DELL</dc:creator>
  <cp:lastModifiedBy/>
  <dcterms:modified xsi:type="dcterms:W3CDTF">2021-09-30T00:49:00Z</dcterms:modified>
</cp:coreProperties>
</file>