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spacing w:line="240" w:lineRule="atLeast"/>
        <w:jc w:val="center"/>
        <w:rPr>
          <w:rFonts w:ascii="Calibri" w:hAnsi="Calibri" w:cs="Arial"/>
          <w:sz w:val="21"/>
          <w:szCs w:val="22"/>
        </w:rPr>
      </w:pPr>
      <w:r>
        <w:rPr>
          <w:rFonts w:hint="eastAsia" w:ascii="方正小标宋简体" w:hAnsi="Calibri" w:eastAsia="方正小标宋简体" w:cs="Arial"/>
          <w:sz w:val="44"/>
          <w:szCs w:val="44"/>
        </w:rPr>
        <w:t>招聘</w:t>
      </w:r>
      <w:r>
        <w:rPr>
          <w:rFonts w:hint="eastAsia" w:ascii="方正小标宋简体" w:hAnsi="Calibri" w:eastAsia="方正小标宋简体" w:cs="Arial"/>
          <w:sz w:val="44"/>
          <w:szCs w:val="44"/>
          <w:lang w:eastAsia="zh-CN"/>
        </w:rPr>
        <w:t>人员</w:t>
      </w:r>
      <w:r>
        <w:rPr>
          <w:rFonts w:hint="eastAsia" w:ascii="方正小标宋简体" w:hAnsi="Calibri" w:eastAsia="方正小标宋简体" w:cs="Arial"/>
          <w:sz w:val="44"/>
          <w:szCs w:val="44"/>
        </w:rPr>
        <w:t>岗位</w:t>
      </w:r>
      <w:r>
        <w:rPr>
          <w:rFonts w:hint="eastAsia" w:ascii="方正小标宋简体" w:hAnsi="Calibri" w:eastAsia="方正小标宋简体" w:cs="Arial"/>
          <w:sz w:val="44"/>
          <w:szCs w:val="44"/>
          <w:lang w:eastAsia="zh-CN"/>
        </w:rPr>
        <w:t>计划表</w:t>
      </w:r>
    </w:p>
    <w:tbl>
      <w:tblPr>
        <w:tblStyle w:val="5"/>
        <w:tblW w:w="14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563"/>
        <w:gridCol w:w="664"/>
        <w:gridCol w:w="1428"/>
        <w:gridCol w:w="1455"/>
        <w:gridCol w:w="1830"/>
        <w:gridCol w:w="5835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tblHeader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年龄条件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专业条件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6" w:leftChars="30" w:firstLine="92" w:firstLineChars="44"/>
              <w:jc w:val="center"/>
              <w:textAlignment w:val="auto"/>
              <w:rPr>
                <w:rFonts w:ascii="宋体" w:hAnsi="宋体" w:cs="Arial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财政金融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会计学、财政学、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统计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学等相关专业。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1.熟悉金融行业工作；具有良好的财务分析、资金管理能力，精通财务账务处理、会计核算及审计的全套流程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熟悉电脑和相关财务审计软件操作。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Arial"/>
                <w:sz w:val="21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.具有良好的语言表达能力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工作认真、细致、严谨，善于沟通协调，责任心、事业心强，原则性、亲和力、判断能力、决策能力、计划能力和执行能力强。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规划建设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城乡规划、园林设计、土木工程、建筑学及相关专业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熟悉土地资源管理、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规划建设、项目建设、项目运营包装等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专业知识，专业水平较高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政策敏感性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较强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，有一定组织协调和沟通能力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、统筹规划能力和团队合作精神。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法律专业。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熟悉合同法、公司法、劳动合同法等法律法规及政策。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具有良好的沟通能力和谈判技巧。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有处理经济纠纷、劳动关系纠纷等相关经验；具有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2年以上公司法务工作经验者优先。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秘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中国语言文学、秘书类等相关专业。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具有较强的学习能力，快速掌握岗位所需的相关知识及要求。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具有良好的语言表达能力、沟通协调能力和团队合作精神，有较强的文字处理能力，熟悉电脑软件操作。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工作认真、细致、严谨，有较强的判断能力、决策能力、执行力。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经济管理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不超过35周岁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经济学、统计学、市场营销、工商管理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、招商引资等。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有较强的沟通协调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判断、决策、计划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执行能力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有较强的市场信息收集、处理、分析能力。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/>
              </w:rPr>
              <w:t>有较强的文字处理能力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3.有招商工作经验者优先。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</w:p>
    <w:p>
      <w:pPr>
        <w:pStyle w:val="2"/>
        <w:rPr>
          <w:rFonts w:hint="eastAsia" w:ascii="方正仿宋简体" w:hAnsi="仿宋_GB2312" w:eastAsia="方正仿宋简体" w:cs="仿宋_GB2312"/>
          <w:kern w:val="0"/>
          <w:szCs w:val="32"/>
        </w:rPr>
        <w:sectPr>
          <w:pgSz w:w="16838" w:h="11906" w:orient="landscape"/>
          <w:pgMar w:top="850" w:right="1247" w:bottom="850" w:left="1247" w:header="851" w:footer="1474" w:gutter="0"/>
          <w:pgNumType w:fmt="numberInDash"/>
          <w:cols w:space="0" w:num="1"/>
          <w:rtlGutter w:val="0"/>
          <w:docGrid w:type="lines" w:linePitch="45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08C6"/>
    <w:rsid w:val="53C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2021-09-26T06:25:00Z</dcterms:created>
  <dc:creator>Administrator</dc:creator>
  <cp:lastModifiedBy>Administrator</cp:lastModifiedBy>
  <dcterms:modified xsi:type="dcterms:W3CDTF">2021-09-26T06:25:41Z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6472AF4771D44123A87F42BB83D690AC</vt:lpwstr>
  </property>
</Properties>
</file>