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firstLine="2640" w:firstLineChars="1100"/>
        <w:textAlignment w:val="auto"/>
        <w:rPr>
          <w:rFonts w:hint="eastAsia" w:ascii="黑体" w:hAnsi="黑体" w:eastAsia="黑体" w:cs="黑体"/>
          <w:b w:val="0"/>
          <w:bCs w:val="0"/>
          <w:i w:val="0"/>
          <w:caps w:val="0"/>
          <w:color w:val="auto"/>
          <w:spacing w:val="0"/>
          <w:kern w:val="0"/>
          <w:sz w:val="24"/>
          <w:szCs w:val="24"/>
          <w:shd w:val="clear" w:color="auto" w:fill="FFFFFF"/>
          <w:lang w:val="en-US" w:eastAsia="zh-CN" w:bidi="ar"/>
        </w:rPr>
      </w:pPr>
      <w:r>
        <w:rPr>
          <w:rFonts w:hint="eastAsia" w:ascii="黑体" w:hAnsi="黑体" w:eastAsia="黑体" w:cs="黑体"/>
          <w:b w:val="0"/>
          <w:bCs w:val="0"/>
          <w:i w:val="0"/>
          <w:caps w:val="0"/>
          <w:color w:val="auto"/>
          <w:spacing w:val="0"/>
          <w:kern w:val="0"/>
          <w:sz w:val="24"/>
          <w:szCs w:val="24"/>
          <w:shd w:val="clear" w:color="auto" w:fill="FFFFFF"/>
          <w:lang w:val="en-US" w:eastAsia="zh-CN" w:bidi="ar"/>
        </w:rPr>
        <w:t>2021年下半年绵阳市政务服务监督管理局下属事业单位公开考调工作人员岗位和条件一览表</w:t>
      </w:r>
    </w:p>
    <w:tbl>
      <w:tblPr>
        <w:tblStyle w:val="4"/>
        <w:tblW w:w="13534" w:type="dxa"/>
        <w:jc w:val="center"/>
        <w:tblInd w:w="-627" w:type="dxa"/>
        <w:tblLayout w:type="fixed"/>
        <w:tblCellMar>
          <w:top w:w="0" w:type="dxa"/>
          <w:left w:w="108" w:type="dxa"/>
          <w:bottom w:w="0" w:type="dxa"/>
          <w:right w:w="108" w:type="dxa"/>
        </w:tblCellMar>
      </w:tblPr>
      <w:tblGrid>
        <w:gridCol w:w="630"/>
        <w:gridCol w:w="1517"/>
        <w:gridCol w:w="666"/>
        <w:gridCol w:w="1556"/>
        <w:gridCol w:w="1550"/>
        <w:gridCol w:w="1795"/>
        <w:gridCol w:w="5820"/>
      </w:tblGrid>
      <w:tr>
        <w:tblPrEx>
          <w:tblLayout w:type="fixed"/>
          <w:tblCellMar>
            <w:top w:w="0" w:type="dxa"/>
            <w:left w:w="108" w:type="dxa"/>
            <w:bottom w:w="0" w:type="dxa"/>
            <w:right w:w="108" w:type="dxa"/>
          </w:tblCellMar>
        </w:tblPrEx>
        <w:trPr>
          <w:trHeight w:val="90" w:hRule="atLeast"/>
          <w:jc w:val="center"/>
        </w:trPr>
        <w:tc>
          <w:tcPr>
            <w:tcW w:w="6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序号</w:t>
            </w:r>
          </w:p>
        </w:tc>
        <w:tc>
          <w:tcPr>
            <w:tcW w:w="151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lang w:eastAsia="zh-CN"/>
              </w:rPr>
              <w:t>考调</w:t>
            </w:r>
            <w:r>
              <w:rPr>
                <w:rFonts w:hint="eastAsia" w:ascii="宋体" w:hAnsi="宋体" w:eastAsia="宋体" w:cs="宋体"/>
                <w:color w:val="auto"/>
                <w:kern w:val="0"/>
                <w:sz w:val="20"/>
                <w:szCs w:val="20"/>
              </w:rPr>
              <w:t>单位</w:t>
            </w:r>
          </w:p>
        </w:tc>
        <w:tc>
          <w:tcPr>
            <w:tcW w:w="6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lang w:eastAsia="zh-CN"/>
              </w:rPr>
              <w:t>岗位</w:t>
            </w:r>
            <w:r>
              <w:rPr>
                <w:rFonts w:hint="eastAsia" w:ascii="宋体" w:hAnsi="宋体" w:eastAsia="宋体" w:cs="宋体"/>
                <w:color w:val="auto"/>
                <w:kern w:val="0"/>
                <w:sz w:val="20"/>
                <w:szCs w:val="20"/>
              </w:rPr>
              <w:t>名称</w:t>
            </w:r>
          </w:p>
        </w:tc>
        <w:tc>
          <w:tcPr>
            <w:tcW w:w="155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lang w:eastAsia="zh-CN"/>
              </w:rPr>
              <w:t>岗位</w:t>
            </w:r>
            <w:r>
              <w:rPr>
                <w:rFonts w:hint="eastAsia" w:ascii="宋体" w:hAnsi="宋体" w:eastAsia="宋体" w:cs="宋体"/>
                <w:color w:val="auto"/>
                <w:kern w:val="0"/>
                <w:sz w:val="20"/>
                <w:szCs w:val="20"/>
              </w:rPr>
              <w:t>简介</w:t>
            </w:r>
          </w:p>
        </w:tc>
        <w:tc>
          <w:tcPr>
            <w:tcW w:w="155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拟</w:t>
            </w:r>
            <w:r>
              <w:rPr>
                <w:rFonts w:hint="eastAsia" w:ascii="宋体" w:hAnsi="宋体" w:eastAsia="宋体" w:cs="宋体"/>
                <w:color w:val="auto"/>
                <w:kern w:val="0"/>
                <w:sz w:val="20"/>
                <w:szCs w:val="20"/>
                <w:lang w:eastAsia="zh-CN"/>
              </w:rPr>
              <w:t>考调岗位</w:t>
            </w:r>
          </w:p>
          <w:p>
            <w:pPr>
              <w:widowControl/>
              <w:jc w:val="center"/>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eastAsia="zh-CN"/>
              </w:rPr>
              <w:t>等级</w:t>
            </w:r>
          </w:p>
        </w:tc>
        <w:tc>
          <w:tcPr>
            <w:tcW w:w="17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lang w:eastAsia="zh-CN"/>
              </w:rPr>
              <w:t>考调</w:t>
            </w:r>
            <w:r>
              <w:rPr>
                <w:rFonts w:hint="eastAsia" w:ascii="宋体" w:hAnsi="宋体" w:eastAsia="宋体" w:cs="宋体"/>
                <w:color w:val="auto"/>
                <w:kern w:val="0"/>
                <w:sz w:val="20"/>
                <w:szCs w:val="20"/>
              </w:rPr>
              <w:t>名额</w:t>
            </w:r>
          </w:p>
        </w:tc>
        <w:tc>
          <w:tcPr>
            <w:tcW w:w="58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lang w:eastAsia="zh-CN"/>
              </w:rPr>
              <w:t>岗位</w:t>
            </w:r>
            <w:r>
              <w:rPr>
                <w:rFonts w:hint="eastAsia" w:ascii="宋体" w:hAnsi="宋体" w:eastAsia="宋体" w:cs="宋体"/>
                <w:color w:val="auto"/>
                <w:kern w:val="0"/>
                <w:sz w:val="20"/>
                <w:szCs w:val="20"/>
              </w:rPr>
              <w:t>资格条件</w:t>
            </w:r>
          </w:p>
        </w:tc>
      </w:tr>
      <w:tr>
        <w:tblPrEx>
          <w:tblLayout w:type="fixed"/>
          <w:tblCellMar>
            <w:top w:w="0" w:type="dxa"/>
            <w:left w:w="108" w:type="dxa"/>
            <w:bottom w:w="0" w:type="dxa"/>
            <w:right w:w="108" w:type="dxa"/>
          </w:tblCellMar>
        </w:tblPrEx>
        <w:trPr>
          <w:trHeight w:val="1344" w:hRule="atLeast"/>
          <w:jc w:val="center"/>
        </w:trPr>
        <w:tc>
          <w:tcPr>
            <w:tcW w:w="630"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1517" w:type="dxa"/>
            <w:tcBorders>
              <w:top w:val="nil"/>
              <w:left w:val="nil"/>
              <w:bottom w:val="single" w:color="auto" w:sz="4" w:space="0"/>
              <w:right w:val="single" w:color="auto" w:sz="4" w:space="0"/>
            </w:tcBorders>
            <w:vAlign w:val="center"/>
          </w:tcPr>
          <w:p>
            <w:pPr>
              <w:spacing w:line="300" w:lineRule="exact"/>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绵阳市政务服务中心</w:t>
            </w:r>
          </w:p>
        </w:tc>
        <w:tc>
          <w:tcPr>
            <w:tcW w:w="666" w:type="dxa"/>
            <w:tcBorders>
              <w:top w:val="nil"/>
              <w:left w:val="nil"/>
              <w:bottom w:val="single" w:color="auto" w:sz="4" w:space="0"/>
              <w:right w:val="single" w:color="auto" w:sz="4" w:space="0"/>
            </w:tcBorders>
            <w:vAlign w:val="center"/>
          </w:tcPr>
          <w:p>
            <w:pPr>
              <w:spacing w:line="300" w:lineRule="exact"/>
              <w:jc w:val="center"/>
              <w:rPr>
                <w:rFonts w:hint="eastAsia" w:ascii="宋体" w:hAnsi="宋体" w:eastAsia="宋体" w:cs="宋体"/>
                <w:color w:val="auto"/>
                <w:sz w:val="20"/>
                <w:szCs w:val="20"/>
                <w:lang w:val="en-US"/>
              </w:rPr>
            </w:pPr>
            <w:r>
              <w:rPr>
                <w:rFonts w:hint="eastAsia" w:ascii="宋体" w:hAnsi="宋体" w:eastAsia="宋体" w:cs="宋体"/>
                <w:color w:val="auto"/>
                <w:sz w:val="20"/>
                <w:szCs w:val="20"/>
                <w:lang w:val="en-US" w:eastAsia="zh-CN"/>
              </w:rPr>
              <w:t>综合岗位</w:t>
            </w:r>
          </w:p>
        </w:tc>
        <w:tc>
          <w:tcPr>
            <w:tcW w:w="1556" w:type="dxa"/>
            <w:tcBorders>
              <w:top w:val="nil"/>
              <w:left w:val="nil"/>
              <w:bottom w:val="single" w:color="auto" w:sz="4" w:space="0"/>
              <w:right w:val="single" w:color="auto" w:sz="4" w:space="0"/>
            </w:tcBorders>
            <w:vAlign w:val="center"/>
          </w:tcPr>
          <w:p>
            <w:pPr>
              <w:spacing w:line="300" w:lineRule="exact"/>
              <w:rPr>
                <w:rFonts w:hint="eastAsia" w:ascii="宋体" w:hAnsi="宋体" w:eastAsia="宋体" w:cs="宋体"/>
                <w:color w:val="auto"/>
                <w:sz w:val="20"/>
                <w:szCs w:val="20"/>
                <w:lang w:val="en-US"/>
              </w:rPr>
            </w:pPr>
            <w:r>
              <w:rPr>
                <w:rFonts w:hint="eastAsia" w:ascii="宋体" w:hAnsi="宋体" w:eastAsia="宋体" w:cs="宋体"/>
                <w:color w:val="auto"/>
                <w:sz w:val="20"/>
                <w:szCs w:val="20"/>
                <w:lang w:val="en-US" w:eastAsia="zh-CN"/>
              </w:rPr>
              <w:t>从事政务服务管理工作</w:t>
            </w:r>
          </w:p>
        </w:tc>
        <w:tc>
          <w:tcPr>
            <w:tcW w:w="1550" w:type="dxa"/>
            <w:tcBorders>
              <w:top w:val="nil"/>
              <w:left w:val="nil"/>
              <w:bottom w:val="single" w:color="auto" w:sz="4" w:space="0"/>
              <w:right w:val="single" w:color="auto" w:sz="4" w:space="0"/>
            </w:tcBorders>
            <w:vAlign w:val="center"/>
          </w:tcPr>
          <w:p>
            <w:pPr>
              <w:spacing w:line="300" w:lineRule="exact"/>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管理九级</w:t>
            </w:r>
          </w:p>
        </w:tc>
        <w:tc>
          <w:tcPr>
            <w:tcW w:w="1795" w:type="dxa"/>
            <w:tcBorders>
              <w:top w:val="nil"/>
              <w:left w:val="nil"/>
              <w:bottom w:val="single" w:color="auto" w:sz="4" w:space="0"/>
              <w:right w:val="single" w:color="auto" w:sz="4" w:space="0"/>
            </w:tcBorders>
            <w:vAlign w:val="center"/>
          </w:tcPr>
          <w:p>
            <w:pPr>
              <w:spacing w:line="300" w:lineRule="exact"/>
              <w:jc w:val="center"/>
              <w:rPr>
                <w:rFonts w:hint="eastAsia" w:ascii="宋体" w:hAnsi="宋体" w:eastAsia="宋体" w:cs="宋体"/>
                <w:color w:val="auto"/>
                <w:sz w:val="20"/>
                <w:szCs w:val="20"/>
                <w:lang w:eastAsia="zh-CN"/>
              </w:rPr>
            </w:pPr>
            <w:r>
              <w:rPr>
                <w:rFonts w:hint="eastAsia" w:ascii="宋体" w:hAnsi="宋体" w:eastAsia="宋体" w:cs="宋体"/>
                <w:color w:val="auto"/>
                <w:sz w:val="20"/>
                <w:szCs w:val="20"/>
                <w:lang w:val="en-US" w:eastAsia="zh-CN"/>
              </w:rPr>
              <w:t>1</w:t>
            </w:r>
          </w:p>
        </w:tc>
        <w:tc>
          <w:tcPr>
            <w:tcW w:w="5820" w:type="dxa"/>
            <w:tcBorders>
              <w:top w:val="nil"/>
              <w:left w:val="nil"/>
              <w:bottom w:val="single" w:color="auto" w:sz="4" w:space="0"/>
              <w:right w:val="single" w:color="auto" w:sz="4" w:space="0"/>
            </w:tcBorders>
            <w:vAlign w:val="center"/>
          </w:tcPr>
          <w:p>
            <w:pPr>
              <w:pStyle w:val="5"/>
              <w:kinsoku w:val="0"/>
              <w:overflowPunct w:val="0"/>
              <w:spacing w:line="300" w:lineRule="exact"/>
              <w:ind w:right="-1"/>
              <w:rPr>
                <w:rFonts w:hint="eastAsia" w:ascii="宋体" w:hAnsi="宋体" w:eastAsia="宋体" w:cs="宋体"/>
                <w:color w:val="auto"/>
                <w:kern w:val="0"/>
                <w:sz w:val="20"/>
                <w:szCs w:val="20"/>
              </w:rPr>
            </w:pPr>
            <w:r>
              <w:rPr>
                <w:rFonts w:hint="eastAsia" w:ascii="宋体" w:hAnsi="宋体" w:eastAsia="宋体" w:cs="宋体"/>
                <w:color w:val="auto"/>
                <w:sz w:val="20"/>
                <w:szCs w:val="20"/>
              </w:rPr>
              <w:t>①</w:t>
            </w:r>
            <w:r>
              <w:rPr>
                <w:rFonts w:hint="eastAsia" w:ascii="宋体" w:hAnsi="宋体" w:eastAsia="宋体" w:cs="宋体"/>
                <w:color w:val="auto"/>
                <w:kern w:val="0"/>
                <w:sz w:val="20"/>
                <w:szCs w:val="20"/>
              </w:rPr>
              <w:t>学历：</w:t>
            </w:r>
            <w:r>
              <w:rPr>
                <w:rFonts w:hint="eastAsia" w:ascii="宋体" w:hAnsi="宋体" w:eastAsia="宋体" w:cs="宋体"/>
                <w:color w:val="auto"/>
                <w:kern w:val="0"/>
                <w:sz w:val="20"/>
                <w:szCs w:val="20"/>
                <w:lang w:val="en-US" w:eastAsia="zh-CN"/>
              </w:rPr>
              <w:t>全日制普通高校本科及以上</w:t>
            </w:r>
            <w:r>
              <w:rPr>
                <w:rFonts w:hint="eastAsia" w:ascii="宋体" w:hAnsi="宋体" w:eastAsia="宋体" w:cs="宋体"/>
                <w:color w:val="auto"/>
                <w:kern w:val="0"/>
                <w:sz w:val="20"/>
                <w:szCs w:val="20"/>
              </w:rPr>
              <w:t>；</w:t>
            </w:r>
          </w:p>
          <w:p>
            <w:pPr>
              <w:pStyle w:val="5"/>
              <w:kinsoku w:val="0"/>
              <w:overflowPunct w:val="0"/>
              <w:spacing w:line="300" w:lineRule="exact"/>
              <w:ind w:right="-1"/>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rPr>
              <w:t>②</w:t>
            </w:r>
            <w:r>
              <w:rPr>
                <w:rFonts w:hint="eastAsia" w:ascii="宋体" w:hAnsi="宋体" w:eastAsia="宋体" w:cs="宋体"/>
                <w:color w:val="auto"/>
                <w:kern w:val="0"/>
                <w:sz w:val="20"/>
                <w:szCs w:val="20"/>
              </w:rPr>
              <w:t>学位</w:t>
            </w:r>
            <w:r>
              <w:rPr>
                <w:rFonts w:hint="eastAsia" w:ascii="宋体" w:hAnsi="宋体" w:eastAsia="宋体" w:cs="宋体"/>
                <w:color w:val="auto"/>
                <w:kern w:val="0"/>
                <w:sz w:val="20"/>
                <w:szCs w:val="20"/>
                <w:lang w:eastAsia="zh-CN"/>
              </w:rPr>
              <w:t>：</w:t>
            </w:r>
            <w:r>
              <w:rPr>
                <w:rFonts w:hint="eastAsia" w:ascii="宋体" w:hAnsi="宋体" w:eastAsia="宋体" w:cs="宋体"/>
                <w:color w:val="auto"/>
                <w:sz w:val="20"/>
                <w:szCs w:val="20"/>
                <w:lang w:val="en-US" w:eastAsia="zh-CN"/>
              </w:rPr>
              <w:t>取得学历相应学位；</w:t>
            </w:r>
          </w:p>
          <w:p>
            <w:pPr>
              <w:pStyle w:val="5"/>
              <w:kinsoku w:val="0"/>
              <w:overflowPunct w:val="0"/>
              <w:spacing w:line="300" w:lineRule="exact"/>
              <w:ind w:right="-1"/>
              <w:rPr>
                <w:rFonts w:hint="eastAsia" w:ascii="宋体" w:hAnsi="宋体" w:eastAsia="宋体" w:cs="宋体"/>
                <w:color w:val="auto"/>
                <w:sz w:val="20"/>
                <w:szCs w:val="20"/>
              </w:rPr>
            </w:pPr>
            <w:r>
              <w:rPr>
                <w:rFonts w:hint="eastAsia" w:ascii="宋体" w:hAnsi="宋体" w:eastAsia="宋体" w:cs="宋体"/>
                <w:color w:val="auto"/>
                <w:sz w:val="20"/>
                <w:szCs w:val="20"/>
              </w:rPr>
              <w:t>③专业：</w:t>
            </w:r>
            <w:r>
              <w:rPr>
                <w:rFonts w:hint="eastAsia" w:ascii="宋体" w:hAnsi="宋体" w:eastAsia="宋体" w:cs="宋体"/>
                <w:color w:val="auto"/>
                <w:sz w:val="20"/>
                <w:szCs w:val="20"/>
                <w:lang w:val="en-US" w:eastAsia="zh-CN"/>
              </w:rPr>
              <w:t>不限</w:t>
            </w:r>
            <w:r>
              <w:rPr>
                <w:rFonts w:hint="eastAsia" w:ascii="宋体" w:hAnsi="宋体" w:eastAsia="宋体" w:cs="宋体"/>
                <w:color w:val="auto"/>
                <w:sz w:val="20"/>
                <w:szCs w:val="20"/>
              </w:rPr>
              <w:t>；</w:t>
            </w:r>
          </w:p>
          <w:p>
            <w:pPr>
              <w:pStyle w:val="5"/>
              <w:kinsoku w:val="0"/>
              <w:overflowPunct w:val="0"/>
              <w:spacing w:line="300" w:lineRule="exact"/>
              <w:ind w:right="-1"/>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rPr>
              <w:t>④</w:t>
            </w:r>
            <w:r>
              <w:rPr>
                <w:rFonts w:hint="eastAsia" w:ascii="宋体" w:hAnsi="宋体" w:eastAsia="宋体" w:cs="宋体"/>
                <w:color w:val="auto"/>
                <w:sz w:val="20"/>
                <w:szCs w:val="20"/>
                <w:lang w:val="en-US" w:eastAsia="zh-CN"/>
              </w:rPr>
              <w:t>年龄：1990年9月22日以后出生。</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C768F7"/>
    <w:rsid w:val="04C768F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index 5"/>
    <w:basedOn w:val="1"/>
    <w:next w:val="1"/>
    <w:uiPriority w:val="0"/>
    <w:pPr>
      <w:ind w:left="800" w:leftChars="800"/>
    </w:pPr>
  </w:style>
  <w:style w:type="paragraph" w:customStyle="1" w:styleId="5">
    <w:name w:val="Table Paragraph"/>
    <w:basedOn w:val="1"/>
    <w:next w:val="2"/>
    <w:unhideWhenUsed/>
    <w:qFormat/>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2021-09-15T09:59:00Z</dcterms:created>
  <dc:creator>jp</dc:creator>
  <cp:lastModifiedBy>jp</cp:lastModifiedBy>
  <dcterms:modified xsi:type="dcterms:W3CDTF">2021-09-15T10:00:39Z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