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附件1</w:t>
      </w:r>
    </w:p>
    <w:tbl>
      <w:tblPr>
        <w:tblStyle w:val="5"/>
        <w:tblpPr w:leftFromText="180" w:rightFromText="180" w:vertAnchor="text" w:horzAnchor="page" w:tblpX="1235" w:tblpY="200"/>
        <w:tblOverlap w:val="never"/>
        <w:tblW w:w="13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761"/>
        <w:gridCol w:w="981"/>
        <w:gridCol w:w="1108"/>
        <w:gridCol w:w="1082"/>
        <w:gridCol w:w="900"/>
        <w:gridCol w:w="1006"/>
        <w:gridCol w:w="635"/>
        <w:gridCol w:w="773"/>
        <w:gridCol w:w="1144"/>
        <w:gridCol w:w="1253"/>
        <w:gridCol w:w="1147"/>
        <w:gridCol w:w="1050"/>
        <w:gridCol w:w="14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7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楚雄州法学会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、楚雄州社会治安综合治理中心和楚雄州见义勇为工作中心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</w:rPr>
              <w:t>年公开选调工作人员岗位信息表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代码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选调单位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  <w:lang w:eastAsia="zh-CN"/>
              </w:rPr>
              <w:t>岗位名称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范围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选调人员身份</w:t>
            </w:r>
          </w:p>
        </w:tc>
        <w:tc>
          <w:tcPr>
            <w:tcW w:w="1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选调岗位</w:t>
            </w:r>
          </w:p>
        </w:tc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选调</w:t>
            </w: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53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岗位要求</w:t>
            </w:r>
          </w:p>
        </w:tc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主管部门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学历要求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工作经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历要求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专业要求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1"/>
                <w:szCs w:val="21"/>
              </w:rPr>
              <w:t>年龄要求</w:t>
            </w:r>
          </w:p>
        </w:tc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楚雄州法学会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管理岗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全州机关事业单位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公务员或事业人员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从事过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综合文秘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州委政法委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楚雄州社会治安综合治理中心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专业技术岗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全州机关事业单位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公务员或事业人员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文秘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从事过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综合文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秘工作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州委政法委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楚雄州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见义勇为工作中心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专业技术岗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全州机关事业单位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公务员或事业人员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文秘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从事过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综合文秘工作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州委政法委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2DC206A"/>
    <w:rsid w:val="7C07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  <w:sz w:val="44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2021-08-31T01:36:30Z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