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宋体" w:eastAsia="黑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color w:val="auto"/>
          <w:sz w:val="28"/>
          <w:szCs w:val="28"/>
        </w:rPr>
        <w:t>附件2：</w:t>
      </w:r>
    </w:p>
    <w:p>
      <w:pPr>
        <w:spacing w:line="560" w:lineRule="exact"/>
        <w:jc w:val="center"/>
        <w:rPr>
          <w:rFonts w:ascii="黑体" w:hAnsi="宋体" w:eastAsia="黑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40"/>
          <w:szCs w:val="40"/>
        </w:rPr>
        <w:t>应聘报名登记表</w:t>
      </w:r>
    </w:p>
    <w:tbl>
      <w:tblPr>
        <w:tblStyle w:val="7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是否为择业期内(含2018年)未落实工作单位的“双一流”高校毕业生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个人学习简历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何学校何专业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240" w:lineRule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B412A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527299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0E57CD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795</Words>
  <Characters>4537</Characters>
  <Lines>37</Lines>
  <Paragraphs>10</Paragraphs>
  <TotalTime>0</TotalTime>
  <ScaleCrop>false</ScaleCrop>
  <LinksUpToDate>false</LinksUpToDate>
  <CharactersWithSpaces>5322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2021-08-06T03:39:38Z</dcterms:modified>
  <dc:title>中共青岛市委党校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AB8951A5AA71424387A3F3539B3E1D4F</vt:lpwstr>
  </property>
</Properties>
</file>