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方正仿宋_GBK" w:hAnsi="宋体" w:eastAsia="方正仿宋_GBK"/>
          <w:color w:val="000000"/>
          <w:sz w:val="30"/>
          <w:szCs w:val="30"/>
        </w:rPr>
      </w:pPr>
      <w:bookmarkStart w:id="0" w:name="_GoBack"/>
      <w:bookmarkEnd w:id="0"/>
      <w:r>
        <w:rPr>
          <w:rFonts w:hint="eastAsia" w:ascii="方正黑体_GBK" w:hAnsi="方正黑体_GBK" w:eastAsia="方正黑体_GBK" w:cs="方正黑体_GBK"/>
          <w:color w:val="000000"/>
          <w:sz w:val="30"/>
          <w:szCs w:val="30"/>
        </w:rPr>
        <w:t>附件1：</w:t>
      </w:r>
    </w:p>
    <w:p>
      <w:pPr>
        <w:jc w:val="center"/>
        <w:rPr>
          <w:rFonts w:ascii="宋体" w:hAnsi="宋体"/>
        </w:rPr>
      </w:pPr>
      <w:r>
        <w:rPr>
          <w:rFonts w:hint="eastAsia" w:ascii="宋体" w:hAnsi="宋体" w:eastAsia="方正小标宋_GBK"/>
          <w:color w:val="000000"/>
          <w:sz w:val="36"/>
          <w:szCs w:val="36"/>
        </w:rPr>
        <w:t>保山市第二人民医院2021年</w:t>
      </w:r>
      <w:r>
        <w:rPr>
          <w:rFonts w:hint="eastAsia" w:ascii="宋体" w:hAnsi="宋体" w:eastAsia="方正小标宋_GBK"/>
          <w:color w:val="000000"/>
          <w:sz w:val="36"/>
          <w:szCs w:val="36"/>
          <w:lang w:eastAsia="zh-CN"/>
        </w:rPr>
        <w:t>二次</w:t>
      </w:r>
      <w:r>
        <w:rPr>
          <w:rFonts w:hint="eastAsia" w:ascii="宋体" w:hAnsi="宋体" w:eastAsia="方正小标宋_GBK"/>
          <w:color w:val="000000"/>
          <w:sz w:val="36"/>
          <w:szCs w:val="36"/>
        </w:rPr>
        <w:t>补充招聘编外合同制人员岗位设置表</w:t>
      </w:r>
    </w:p>
    <w:tbl>
      <w:tblPr>
        <w:tblStyle w:val="2"/>
        <w:tblW w:w="1498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850"/>
        <w:gridCol w:w="993"/>
        <w:gridCol w:w="1134"/>
        <w:gridCol w:w="850"/>
        <w:gridCol w:w="1440"/>
        <w:gridCol w:w="1650"/>
        <w:gridCol w:w="1575"/>
        <w:gridCol w:w="2408"/>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blHeader/>
        </w:trPr>
        <w:tc>
          <w:tcPr>
            <w:tcW w:w="1149"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岗位</w:t>
            </w:r>
          </w:p>
        </w:tc>
        <w:tc>
          <w:tcPr>
            <w:tcW w:w="8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招聘人数</w:t>
            </w:r>
          </w:p>
        </w:tc>
        <w:tc>
          <w:tcPr>
            <w:tcW w:w="993"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学历</w:t>
            </w:r>
          </w:p>
        </w:tc>
        <w:tc>
          <w:tcPr>
            <w:tcW w:w="1134"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学历性质条件</w:t>
            </w:r>
          </w:p>
        </w:tc>
        <w:tc>
          <w:tcPr>
            <w:tcW w:w="8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学位</w:t>
            </w:r>
          </w:p>
        </w:tc>
        <w:tc>
          <w:tcPr>
            <w:tcW w:w="144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专业</w:t>
            </w:r>
          </w:p>
        </w:tc>
        <w:tc>
          <w:tcPr>
            <w:tcW w:w="1650"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具备资格</w:t>
            </w:r>
          </w:p>
        </w:tc>
        <w:tc>
          <w:tcPr>
            <w:tcW w:w="1575"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年龄</w:t>
            </w:r>
          </w:p>
        </w:tc>
        <w:tc>
          <w:tcPr>
            <w:tcW w:w="2408"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其他条件</w:t>
            </w:r>
          </w:p>
        </w:tc>
        <w:tc>
          <w:tcPr>
            <w:tcW w:w="2939" w:type="dxa"/>
            <w:vAlign w:val="center"/>
          </w:tcPr>
          <w:p>
            <w:pPr>
              <w:widowControl/>
              <w:jc w:val="center"/>
              <w:rPr>
                <w:rFonts w:ascii="宋体" w:hAnsi="宋体"/>
                <w:b/>
                <w:bCs/>
                <w:color w:val="000000"/>
                <w:kern w:val="0"/>
                <w:sz w:val="24"/>
                <w:szCs w:val="24"/>
              </w:rPr>
            </w:pPr>
            <w:r>
              <w:rPr>
                <w:rFonts w:hint="eastAsia" w:ascii="宋体" w:hAnsi="宋体"/>
                <w:b/>
                <w:bCs/>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Align w:val="center"/>
          </w:tcPr>
          <w:p>
            <w:pPr>
              <w:widowControl/>
              <w:jc w:val="center"/>
              <w:rPr>
                <w:rFonts w:ascii="宋体" w:hAnsi="宋体"/>
                <w:color w:val="000000"/>
                <w:kern w:val="0"/>
                <w:sz w:val="21"/>
                <w:szCs w:val="21"/>
              </w:rPr>
            </w:pPr>
            <w:r>
              <w:rPr>
                <w:rFonts w:hint="eastAsia" w:ascii="宋体" w:hAnsi="宋体"/>
                <w:color w:val="000000"/>
                <w:kern w:val="0"/>
                <w:sz w:val="21"/>
                <w:szCs w:val="21"/>
              </w:rPr>
              <w:t>临床</w:t>
            </w:r>
          </w:p>
          <w:p>
            <w:pPr>
              <w:widowControl/>
              <w:jc w:val="center"/>
              <w:rPr>
                <w:rFonts w:ascii="宋体" w:hAnsi="宋体"/>
                <w:color w:val="000000"/>
                <w:kern w:val="0"/>
              </w:rPr>
            </w:pPr>
            <w:r>
              <w:rPr>
                <w:rFonts w:hint="eastAsia" w:ascii="宋体" w:hAnsi="宋体"/>
                <w:color w:val="000000"/>
                <w:kern w:val="0"/>
                <w:sz w:val="21"/>
                <w:szCs w:val="21"/>
              </w:rPr>
              <w:t>医师岗</w:t>
            </w:r>
          </w:p>
        </w:tc>
        <w:tc>
          <w:tcPr>
            <w:tcW w:w="850" w:type="dxa"/>
            <w:vAlign w:val="center"/>
          </w:tcPr>
          <w:p>
            <w:pPr>
              <w:widowControl/>
              <w:jc w:val="center"/>
              <w:rPr>
                <w:rFonts w:ascii="宋体" w:hAnsi="宋体"/>
                <w:color w:val="000000"/>
                <w:kern w:val="0"/>
              </w:rPr>
            </w:pPr>
            <w:r>
              <w:rPr>
                <w:rFonts w:hint="eastAsia" w:ascii="宋体" w:hAnsi="宋体"/>
                <w:color w:val="000000"/>
                <w:kern w:val="0"/>
              </w:rPr>
              <w:t>9</w:t>
            </w:r>
          </w:p>
        </w:tc>
        <w:tc>
          <w:tcPr>
            <w:tcW w:w="993" w:type="dxa"/>
            <w:vAlign w:val="center"/>
          </w:tcPr>
          <w:p>
            <w:pPr>
              <w:widowControl/>
              <w:jc w:val="center"/>
              <w:rPr>
                <w:rFonts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sz w:val="21"/>
                <w:szCs w:val="21"/>
              </w:rPr>
              <w:t>国民教育</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不限</w:t>
            </w:r>
          </w:p>
        </w:tc>
        <w:tc>
          <w:tcPr>
            <w:tcW w:w="1440" w:type="dxa"/>
            <w:vAlign w:val="center"/>
          </w:tcPr>
          <w:p>
            <w:pPr>
              <w:widowControl/>
              <w:rPr>
                <w:rFonts w:ascii="宋体" w:hAnsi="宋体"/>
                <w:color w:val="000000"/>
                <w:kern w:val="0"/>
              </w:rPr>
            </w:pPr>
            <w:r>
              <w:rPr>
                <w:rFonts w:hint="eastAsia" w:ascii="宋体" w:hAnsi="宋体"/>
                <w:color w:val="000000"/>
                <w:kern w:val="0"/>
                <w:sz w:val="21"/>
                <w:szCs w:val="21"/>
              </w:rPr>
              <w:t>临床医学/医学影像学/中医学/中西医临床医学/临床医学类</w:t>
            </w:r>
          </w:p>
        </w:tc>
        <w:tc>
          <w:tcPr>
            <w:tcW w:w="1650" w:type="dxa"/>
            <w:vAlign w:val="center"/>
          </w:tcPr>
          <w:p>
            <w:pPr>
              <w:widowControl/>
              <w:jc w:val="center"/>
              <w:rPr>
                <w:rFonts w:ascii="宋体" w:hAnsi="宋体"/>
                <w:color w:val="000000"/>
                <w:kern w:val="0"/>
              </w:rPr>
            </w:pPr>
            <w:r>
              <w:rPr>
                <w:rFonts w:hint="eastAsia" w:ascii="宋体" w:hAnsi="宋体"/>
                <w:color w:val="000000"/>
                <w:kern w:val="0"/>
                <w:sz w:val="21"/>
                <w:szCs w:val="21"/>
              </w:rPr>
              <w:t>具有执业医师资格或医考成绩合格证明</w:t>
            </w: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年龄不超过40岁，高级职称的年龄可以放宽到45岁</w:t>
            </w:r>
          </w:p>
        </w:tc>
        <w:tc>
          <w:tcPr>
            <w:tcW w:w="2408" w:type="dxa"/>
            <w:vAlign w:val="center"/>
          </w:tcPr>
          <w:p>
            <w:pPr>
              <w:widowControl/>
              <w:jc w:val="center"/>
              <w:rPr>
                <w:rFonts w:ascii="宋体" w:hAnsi="宋体"/>
                <w:color w:val="000000"/>
                <w:kern w:val="0"/>
              </w:rPr>
            </w:pPr>
            <w:r>
              <w:rPr>
                <w:rFonts w:hint="eastAsia" w:ascii="宋体" w:hAnsi="宋体"/>
                <w:color w:val="000000"/>
                <w:kern w:val="0"/>
                <w:sz w:val="21"/>
                <w:szCs w:val="21"/>
              </w:rPr>
              <w:t>国民教育本科及以上学历，毕业时间不限</w:t>
            </w:r>
          </w:p>
        </w:tc>
        <w:tc>
          <w:tcPr>
            <w:tcW w:w="2939" w:type="dxa"/>
            <w:vAlign w:val="center"/>
          </w:tcPr>
          <w:p>
            <w:pPr>
              <w:widowControl/>
              <w:jc w:val="left"/>
              <w:rPr>
                <w:rFonts w:ascii="宋体" w:hAnsi="宋体"/>
                <w:color w:val="000000"/>
                <w:kern w:val="0"/>
              </w:rPr>
            </w:pPr>
            <w:r>
              <w:rPr>
                <w:rFonts w:hint="eastAsia" w:ascii="宋体" w:hAnsi="宋体"/>
                <w:color w:val="000000"/>
                <w:kern w:val="0"/>
              </w:rPr>
              <w:t>硕士研究生专业放宽至所设专业的相关专业。</w:t>
            </w:r>
          </w:p>
          <w:p>
            <w:pPr>
              <w:widowControl/>
              <w:jc w:val="left"/>
              <w:rPr>
                <w:rFonts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Align w:val="center"/>
          </w:tcPr>
          <w:p>
            <w:pPr>
              <w:widowControl/>
              <w:jc w:val="center"/>
              <w:rPr>
                <w:rFonts w:hint="eastAsia" w:ascii="宋体" w:hAnsi="宋体"/>
                <w:color w:val="000000"/>
                <w:kern w:val="0"/>
              </w:rPr>
            </w:pPr>
            <w:r>
              <w:rPr>
                <w:rFonts w:hint="eastAsia" w:ascii="宋体" w:hAnsi="宋体"/>
                <w:color w:val="000000"/>
                <w:kern w:val="0"/>
              </w:rPr>
              <w:t>临床岗</w:t>
            </w:r>
          </w:p>
        </w:tc>
        <w:tc>
          <w:tcPr>
            <w:tcW w:w="850"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val="en-US" w:eastAsia="zh-CN"/>
              </w:rPr>
              <w:t>5</w:t>
            </w:r>
          </w:p>
        </w:tc>
        <w:tc>
          <w:tcPr>
            <w:tcW w:w="993" w:type="dxa"/>
            <w:vAlign w:val="center"/>
          </w:tcPr>
          <w:p>
            <w:pPr>
              <w:widowControl/>
              <w:jc w:val="center"/>
              <w:rPr>
                <w:rFonts w:hint="eastAsia"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hint="eastAsia" w:ascii="宋体" w:hAnsi="宋体"/>
                <w:color w:val="000000"/>
                <w:kern w:val="0"/>
              </w:rPr>
            </w:pPr>
            <w:r>
              <w:rPr>
                <w:rFonts w:hint="eastAsia" w:ascii="宋体" w:hAnsi="宋体"/>
                <w:color w:val="000000"/>
                <w:kern w:val="0"/>
                <w:sz w:val="21"/>
                <w:szCs w:val="21"/>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学士及以上</w:t>
            </w:r>
          </w:p>
        </w:tc>
        <w:tc>
          <w:tcPr>
            <w:tcW w:w="1440" w:type="dxa"/>
            <w:vAlign w:val="center"/>
          </w:tcPr>
          <w:p>
            <w:pPr>
              <w:widowControl/>
              <w:rPr>
                <w:rFonts w:hint="eastAsia" w:ascii="宋体" w:hAnsi="宋体"/>
                <w:color w:val="000000"/>
                <w:kern w:val="0"/>
              </w:rPr>
            </w:pPr>
            <w:r>
              <w:rPr>
                <w:rFonts w:hint="eastAsia" w:ascii="宋体" w:hAnsi="宋体"/>
                <w:color w:val="000000"/>
                <w:kern w:val="0"/>
                <w:sz w:val="21"/>
                <w:szCs w:val="21"/>
              </w:rPr>
              <w:t>临床医学/临床医学类</w:t>
            </w: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年龄不超过30岁</w:t>
            </w:r>
            <w:r>
              <w:rPr>
                <w:rFonts w:ascii="宋体" w:hAnsi="宋体"/>
                <w:color w:val="000000"/>
                <w:kern w:val="0"/>
              </w:rPr>
              <w:t>（硕士研究生</w:t>
            </w:r>
            <w:r>
              <w:rPr>
                <w:rFonts w:hint="eastAsia" w:ascii="宋体" w:hAnsi="宋体"/>
                <w:color w:val="000000"/>
                <w:kern w:val="0"/>
              </w:rPr>
              <w:t>放宽至35周岁，</w:t>
            </w:r>
            <w:r>
              <w:rPr>
                <w:rFonts w:ascii="宋体" w:hAnsi="宋体"/>
                <w:color w:val="000000"/>
                <w:kern w:val="0"/>
              </w:rPr>
              <w:t>持证人员年龄放宽</w:t>
            </w:r>
            <w:r>
              <w:rPr>
                <w:rFonts w:hint="eastAsia" w:ascii="宋体" w:hAnsi="宋体"/>
                <w:color w:val="000000"/>
                <w:kern w:val="0"/>
              </w:rPr>
              <w:t>至45周岁</w:t>
            </w:r>
            <w:r>
              <w:rPr>
                <w:rFonts w:ascii="宋体" w:hAnsi="宋体"/>
                <w:color w:val="000000"/>
                <w:kern w:val="0"/>
              </w:rPr>
              <w:t>）</w:t>
            </w:r>
          </w:p>
        </w:tc>
        <w:tc>
          <w:tcPr>
            <w:tcW w:w="2408"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jc w:val="left"/>
              <w:rPr>
                <w:rFonts w:ascii="宋体" w:hAnsi="宋体"/>
                <w:color w:val="000000"/>
                <w:kern w:val="0"/>
              </w:rPr>
            </w:pPr>
            <w:r>
              <w:rPr>
                <w:rFonts w:hint="eastAsia" w:ascii="宋体" w:hAnsi="宋体"/>
                <w:color w:val="000000"/>
                <w:kern w:val="0"/>
              </w:rPr>
              <w:t>1.硕士研究生专业放宽至所设专业的相关专业。</w:t>
            </w:r>
          </w:p>
          <w:p>
            <w:pPr>
              <w:widowControl/>
              <w:jc w:val="left"/>
              <w:rPr>
                <w:rFonts w:hint="eastAsia" w:ascii="宋体" w:hAnsi="宋体"/>
                <w:color w:val="000000"/>
                <w:kern w:val="0"/>
              </w:rPr>
            </w:pPr>
            <w:r>
              <w:rPr>
                <w:rFonts w:hint="eastAsia" w:ascii="宋体" w:hAnsi="宋体"/>
                <w:color w:val="000000"/>
                <w:kern w:val="0"/>
              </w:rPr>
              <w:t>2.具有执业医师资格或医考成绩合格证明或持有住院医师规范化培训合格证的，可放宽至国民教育本科及以上学历，毕业时间不受应届毕业生限制。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rPr>
              <w:t>护理岗</w:t>
            </w:r>
          </w:p>
        </w:tc>
        <w:tc>
          <w:tcPr>
            <w:tcW w:w="850" w:type="dxa"/>
            <w:vAlign w:val="center"/>
          </w:tcPr>
          <w:p>
            <w:pPr>
              <w:widowControl/>
              <w:jc w:val="center"/>
              <w:rPr>
                <w:rFonts w:hint="eastAsia" w:ascii="宋体" w:hAnsi="宋体" w:eastAsia="宋体"/>
                <w:color w:val="000000"/>
                <w:kern w:val="0"/>
                <w:lang w:eastAsia="zh-CN"/>
              </w:rPr>
            </w:pPr>
            <w:r>
              <w:rPr>
                <w:rFonts w:hint="eastAsia" w:ascii="宋体" w:hAnsi="宋体"/>
                <w:color w:val="000000"/>
                <w:kern w:val="0"/>
                <w:lang w:val="en-US" w:eastAsia="zh-CN"/>
              </w:rPr>
              <w:t>4</w:t>
            </w:r>
          </w:p>
        </w:tc>
        <w:tc>
          <w:tcPr>
            <w:tcW w:w="993" w:type="dxa"/>
            <w:vAlign w:val="center"/>
          </w:tcPr>
          <w:p>
            <w:pPr>
              <w:widowControl/>
              <w:jc w:val="center"/>
              <w:rPr>
                <w:rFonts w:ascii="宋体" w:hAnsi="宋体"/>
                <w:color w:val="000000"/>
                <w:kern w:val="0"/>
              </w:rPr>
            </w:pPr>
            <w:r>
              <w:rPr>
                <w:rFonts w:hint="eastAsia" w:ascii="宋体" w:hAnsi="宋体"/>
                <w:color w:val="000000"/>
                <w:kern w:val="0"/>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rPr>
              <w:t>学士及以上</w:t>
            </w:r>
          </w:p>
        </w:tc>
        <w:tc>
          <w:tcPr>
            <w:tcW w:w="1440" w:type="dxa"/>
            <w:vAlign w:val="center"/>
          </w:tcPr>
          <w:p>
            <w:pPr>
              <w:widowControl/>
              <w:jc w:val="center"/>
              <w:rPr>
                <w:rFonts w:hint="eastAsia" w:ascii="宋体" w:hAnsi="宋体" w:eastAsia="宋体"/>
                <w:color w:val="000000"/>
                <w:kern w:val="0"/>
                <w:lang w:val="en-US" w:eastAsia="zh-CN"/>
              </w:rPr>
            </w:pPr>
            <w:r>
              <w:rPr>
                <w:rFonts w:hint="eastAsia" w:ascii="宋体" w:hAnsi="宋体"/>
                <w:color w:val="000000"/>
                <w:kern w:val="0"/>
              </w:rPr>
              <w:t>护理学</w:t>
            </w:r>
            <w:r>
              <w:rPr>
                <w:rFonts w:hint="eastAsia" w:ascii="宋体" w:hAnsi="宋体"/>
                <w:color w:val="000000"/>
                <w:kern w:val="0"/>
                <w:lang w:val="en-US" w:eastAsia="zh-CN"/>
              </w:rPr>
              <w:t>/助产学</w:t>
            </w:r>
          </w:p>
        </w:tc>
        <w:tc>
          <w:tcPr>
            <w:tcW w:w="1650" w:type="dxa"/>
            <w:vAlign w:val="center"/>
          </w:tcPr>
          <w:p>
            <w:pPr>
              <w:widowControl/>
              <w:jc w:val="center"/>
              <w:rPr>
                <w:rFonts w:ascii="宋体" w:hAnsi="宋体"/>
                <w:color w:val="000000"/>
                <w:kern w:val="0"/>
              </w:rPr>
            </w:pPr>
            <w:r>
              <w:rPr>
                <w:rFonts w:hint="eastAsia" w:ascii="宋体" w:hAnsi="宋体"/>
                <w:color w:val="000000"/>
                <w:kern w:val="0"/>
              </w:rPr>
              <w:t>需具有护士执业资格或护考成绩合格证明</w:t>
            </w:r>
          </w:p>
        </w:tc>
        <w:tc>
          <w:tcPr>
            <w:tcW w:w="1575" w:type="dxa"/>
            <w:vAlign w:val="center"/>
          </w:tcPr>
          <w:p>
            <w:pPr>
              <w:widowControl/>
              <w:jc w:val="center"/>
              <w:rPr>
                <w:rFonts w:ascii="宋体" w:hAnsi="宋体"/>
                <w:color w:val="000000"/>
                <w:kern w:val="0"/>
              </w:rPr>
            </w:pPr>
            <w:r>
              <w:rPr>
                <w:rFonts w:hint="eastAsia" w:ascii="宋体" w:hAnsi="宋体"/>
                <w:color w:val="000000"/>
                <w:kern w:val="0"/>
              </w:rPr>
              <w:t>年龄不超过30周岁</w:t>
            </w:r>
          </w:p>
        </w:tc>
        <w:tc>
          <w:tcPr>
            <w:tcW w:w="2408" w:type="dxa"/>
            <w:vAlign w:val="center"/>
          </w:tcPr>
          <w:p>
            <w:pPr>
              <w:widowControl/>
              <w:jc w:val="center"/>
              <w:rPr>
                <w:rFonts w:ascii="宋体" w:hAnsi="宋体"/>
                <w:color w:val="000000"/>
                <w:kern w:val="0"/>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rPr>
                <w:rFonts w:hint="eastAsia"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lang w:eastAsia="zh-CN"/>
              </w:rPr>
              <w:t>影像</w:t>
            </w:r>
            <w:r>
              <w:rPr>
                <w:rFonts w:hint="eastAsia" w:ascii="宋体" w:hAnsi="宋体"/>
                <w:color w:val="000000"/>
                <w:kern w:val="0"/>
              </w:rPr>
              <w:t>岗</w:t>
            </w:r>
          </w:p>
        </w:tc>
        <w:tc>
          <w:tcPr>
            <w:tcW w:w="850" w:type="dxa"/>
            <w:vAlign w:val="center"/>
          </w:tcPr>
          <w:p>
            <w:pPr>
              <w:widowControl/>
              <w:jc w:val="center"/>
              <w:rPr>
                <w:rFonts w:ascii="宋体" w:hAnsi="宋体"/>
                <w:color w:val="000000"/>
                <w:kern w:val="0"/>
              </w:rPr>
            </w:pPr>
            <w:r>
              <w:rPr>
                <w:rFonts w:hint="eastAsia" w:ascii="宋体" w:hAnsi="宋体"/>
                <w:color w:val="000000"/>
                <w:kern w:val="0"/>
              </w:rPr>
              <w:t>1</w:t>
            </w:r>
          </w:p>
        </w:tc>
        <w:tc>
          <w:tcPr>
            <w:tcW w:w="993" w:type="dxa"/>
            <w:vAlign w:val="center"/>
          </w:tcPr>
          <w:p>
            <w:pPr>
              <w:widowControl/>
              <w:jc w:val="center"/>
              <w:rPr>
                <w:rFonts w:ascii="宋体" w:hAnsi="宋体"/>
                <w:color w:val="000000"/>
                <w:kern w:val="0"/>
              </w:rPr>
            </w:pPr>
            <w:r>
              <w:rPr>
                <w:rFonts w:hint="eastAsia" w:ascii="宋体" w:hAnsi="宋体"/>
                <w:color w:val="000000"/>
                <w:kern w:val="0"/>
                <w:sz w:val="21"/>
                <w:szCs w:val="21"/>
              </w:rPr>
              <w:t>本科及以上</w:t>
            </w:r>
          </w:p>
        </w:tc>
        <w:tc>
          <w:tcPr>
            <w:tcW w:w="1134" w:type="dxa"/>
            <w:vAlign w:val="center"/>
          </w:tcPr>
          <w:p>
            <w:pPr>
              <w:widowControl/>
              <w:jc w:val="center"/>
              <w:rPr>
                <w:rFonts w:ascii="宋体" w:hAnsi="宋体"/>
                <w:color w:val="000000"/>
                <w:kern w:val="0"/>
              </w:rPr>
            </w:pPr>
            <w:r>
              <w:rPr>
                <w:rFonts w:hint="eastAsia" w:ascii="宋体" w:hAnsi="宋体"/>
                <w:color w:val="000000"/>
                <w:kern w:val="0"/>
                <w:sz w:val="21"/>
                <w:szCs w:val="21"/>
              </w:rPr>
              <w:t>普通招生计划</w:t>
            </w:r>
          </w:p>
        </w:tc>
        <w:tc>
          <w:tcPr>
            <w:tcW w:w="850" w:type="dxa"/>
            <w:vAlign w:val="center"/>
          </w:tcPr>
          <w:p>
            <w:pPr>
              <w:widowControl/>
              <w:jc w:val="center"/>
              <w:rPr>
                <w:rFonts w:ascii="宋体" w:hAnsi="宋体"/>
                <w:color w:val="000000"/>
                <w:kern w:val="0"/>
              </w:rPr>
            </w:pPr>
            <w:r>
              <w:rPr>
                <w:rFonts w:hint="eastAsia" w:ascii="宋体" w:hAnsi="宋体"/>
                <w:color w:val="000000"/>
                <w:kern w:val="0"/>
                <w:sz w:val="21"/>
                <w:szCs w:val="21"/>
              </w:rPr>
              <w:t>学士及以上</w:t>
            </w:r>
          </w:p>
        </w:tc>
        <w:tc>
          <w:tcPr>
            <w:tcW w:w="1440" w:type="dxa"/>
            <w:vAlign w:val="center"/>
          </w:tcPr>
          <w:p>
            <w:pPr>
              <w:widowControl/>
              <w:jc w:val="center"/>
              <w:rPr>
                <w:rFonts w:ascii="宋体" w:hAnsi="宋体"/>
                <w:color w:val="000000"/>
                <w:kern w:val="0"/>
              </w:rPr>
            </w:pPr>
            <w:r>
              <w:rPr>
                <w:rFonts w:hint="eastAsia" w:ascii="宋体" w:hAnsi="宋体"/>
                <w:color w:val="000000"/>
                <w:kern w:val="0"/>
                <w:sz w:val="21"/>
                <w:szCs w:val="21"/>
              </w:rPr>
              <w:t>医学影像学/影像医学与核医学</w:t>
            </w: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r>
              <w:rPr>
                <w:rFonts w:hint="eastAsia" w:ascii="宋体" w:hAnsi="宋体"/>
                <w:color w:val="000000"/>
                <w:kern w:val="0"/>
                <w:sz w:val="21"/>
                <w:szCs w:val="21"/>
              </w:rPr>
              <w:t>年龄不超过30岁</w:t>
            </w:r>
            <w:r>
              <w:rPr>
                <w:rFonts w:ascii="宋体" w:hAnsi="宋体"/>
                <w:color w:val="000000"/>
                <w:kern w:val="0"/>
              </w:rPr>
              <w:t>（硕士研究生</w:t>
            </w:r>
            <w:r>
              <w:rPr>
                <w:rFonts w:hint="eastAsia" w:ascii="宋体" w:hAnsi="宋体"/>
                <w:color w:val="000000"/>
                <w:kern w:val="0"/>
              </w:rPr>
              <w:t>放宽至35周岁</w:t>
            </w:r>
            <w:r>
              <w:rPr>
                <w:rFonts w:ascii="宋体" w:hAnsi="宋体"/>
                <w:color w:val="000000"/>
                <w:kern w:val="0"/>
              </w:rPr>
              <w:t>）</w:t>
            </w:r>
          </w:p>
        </w:tc>
        <w:tc>
          <w:tcPr>
            <w:tcW w:w="2408" w:type="dxa"/>
            <w:vAlign w:val="center"/>
          </w:tcPr>
          <w:p>
            <w:pPr>
              <w:widowControl/>
              <w:jc w:val="center"/>
              <w:rPr>
                <w:rFonts w:ascii="宋体" w:hAnsi="宋体"/>
                <w:color w:val="000000"/>
                <w:kern w:val="0"/>
              </w:rPr>
            </w:pPr>
            <w:r>
              <w:rPr>
                <w:rFonts w:hint="eastAsia" w:ascii="宋体" w:hAnsi="宋体"/>
                <w:color w:val="000000"/>
                <w:kern w:val="0"/>
                <w:lang w:eastAsia="zh-CN"/>
              </w:rPr>
              <w:t>普通招生计划（全日制）本科及以上的2019年、2020年、2021年毕业但未就业的毕业生，取得学士及以上学位证书。</w:t>
            </w:r>
          </w:p>
        </w:tc>
        <w:tc>
          <w:tcPr>
            <w:tcW w:w="2939" w:type="dxa"/>
            <w:vAlign w:val="center"/>
          </w:tcPr>
          <w:p>
            <w:pPr>
              <w:widowControl/>
              <w:jc w:val="left"/>
              <w:rPr>
                <w:rFonts w:ascii="宋体" w:hAnsi="宋体"/>
                <w:color w:val="000000"/>
                <w:kern w:val="0"/>
              </w:rPr>
            </w:pPr>
            <w:r>
              <w:rPr>
                <w:rFonts w:hint="eastAsia" w:ascii="宋体" w:hAnsi="宋体"/>
                <w:color w:val="000000"/>
                <w:kern w:val="0"/>
              </w:rPr>
              <w:t>硕士研究生专业放宽至所设专业的相关专业。</w:t>
            </w:r>
          </w:p>
          <w:p>
            <w:pPr>
              <w:widowControl/>
              <w:jc w:val="center"/>
              <w:rPr>
                <w:rFonts w:ascii="宋体" w:hAnsi="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49" w:type="dxa"/>
            <w:vAlign w:val="center"/>
          </w:tcPr>
          <w:p>
            <w:pPr>
              <w:widowControl/>
              <w:jc w:val="center"/>
              <w:rPr>
                <w:rFonts w:ascii="宋体" w:hAnsi="宋体"/>
                <w:color w:val="000000"/>
                <w:kern w:val="0"/>
              </w:rPr>
            </w:pPr>
            <w:r>
              <w:rPr>
                <w:rFonts w:hint="eastAsia" w:ascii="宋体" w:hAnsi="宋体"/>
                <w:color w:val="000000"/>
                <w:kern w:val="0"/>
              </w:rPr>
              <w:t>合计</w:t>
            </w:r>
          </w:p>
        </w:tc>
        <w:tc>
          <w:tcPr>
            <w:tcW w:w="850" w:type="dxa"/>
            <w:vAlign w:val="center"/>
          </w:tcPr>
          <w:p>
            <w:pPr>
              <w:widowControl/>
              <w:jc w:val="center"/>
              <w:rPr>
                <w:rFonts w:hint="default" w:ascii="宋体" w:hAnsi="宋体" w:eastAsia="宋体"/>
                <w:color w:val="000000"/>
                <w:kern w:val="0"/>
                <w:lang w:val="en-US" w:eastAsia="zh-CN"/>
              </w:rPr>
            </w:pPr>
            <w:r>
              <w:rPr>
                <w:rFonts w:hint="eastAsia" w:ascii="宋体" w:hAnsi="宋体"/>
                <w:color w:val="000000"/>
                <w:kern w:val="0"/>
                <w:lang w:val="en-US" w:eastAsia="zh-CN"/>
              </w:rPr>
              <w:t>19</w:t>
            </w:r>
          </w:p>
        </w:tc>
        <w:tc>
          <w:tcPr>
            <w:tcW w:w="993" w:type="dxa"/>
            <w:vAlign w:val="center"/>
          </w:tcPr>
          <w:p>
            <w:pPr>
              <w:widowControl/>
              <w:jc w:val="center"/>
              <w:rPr>
                <w:rFonts w:ascii="宋体" w:hAnsi="宋体"/>
                <w:color w:val="000000"/>
                <w:kern w:val="0"/>
              </w:rPr>
            </w:pPr>
          </w:p>
        </w:tc>
        <w:tc>
          <w:tcPr>
            <w:tcW w:w="1134" w:type="dxa"/>
            <w:vAlign w:val="center"/>
          </w:tcPr>
          <w:p>
            <w:pPr>
              <w:widowControl/>
              <w:jc w:val="center"/>
              <w:rPr>
                <w:rFonts w:ascii="宋体" w:hAnsi="宋体"/>
                <w:color w:val="000000"/>
                <w:kern w:val="0"/>
              </w:rPr>
            </w:pPr>
          </w:p>
        </w:tc>
        <w:tc>
          <w:tcPr>
            <w:tcW w:w="850" w:type="dxa"/>
            <w:vAlign w:val="center"/>
          </w:tcPr>
          <w:p>
            <w:pPr>
              <w:widowControl/>
              <w:jc w:val="center"/>
              <w:rPr>
                <w:rFonts w:ascii="宋体" w:hAnsi="宋体"/>
                <w:color w:val="000000"/>
                <w:kern w:val="0"/>
              </w:rPr>
            </w:pPr>
          </w:p>
        </w:tc>
        <w:tc>
          <w:tcPr>
            <w:tcW w:w="1440" w:type="dxa"/>
            <w:vAlign w:val="center"/>
          </w:tcPr>
          <w:p>
            <w:pPr>
              <w:widowControl/>
              <w:jc w:val="center"/>
              <w:rPr>
                <w:rFonts w:ascii="宋体" w:hAnsi="宋体"/>
                <w:color w:val="000000"/>
                <w:kern w:val="0"/>
              </w:rPr>
            </w:pPr>
          </w:p>
        </w:tc>
        <w:tc>
          <w:tcPr>
            <w:tcW w:w="1650" w:type="dxa"/>
            <w:vAlign w:val="center"/>
          </w:tcPr>
          <w:p>
            <w:pPr>
              <w:widowControl/>
              <w:jc w:val="center"/>
              <w:rPr>
                <w:rFonts w:ascii="宋体" w:hAnsi="宋体"/>
                <w:color w:val="000000"/>
                <w:kern w:val="0"/>
              </w:rPr>
            </w:pPr>
          </w:p>
        </w:tc>
        <w:tc>
          <w:tcPr>
            <w:tcW w:w="1575" w:type="dxa"/>
            <w:vAlign w:val="center"/>
          </w:tcPr>
          <w:p>
            <w:pPr>
              <w:widowControl/>
              <w:jc w:val="center"/>
              <w:rPr>
                <w:rFonts w:ascii="宋体" w:hAnsi="宋体"/>
                <w:color w:val="000000"/>
                <w:kern w:val="0"/>
              </w:rPr>
            </w:pPr>
          </w:p>
        </w:tc>
        <w:tc>
          <w:tcPr>
            <w:tcW w:w="2408" w:type="dxa"/>
            <w:vAlign w:val="center"/>
          </w:tcPr>
          <w:p>
            <w:pPr>
              <w:jc w:val="center"/>
              <w:rPr>
                <w:rFonts w:ascii="宋体" w:hAnsi="宋体"/>
                <w:color w:val="000000"/>
                <w:kern w:val="0"/>
              </w:rPr>
            </w:pPr>
          </w:p>
        </w:tc>
        <w:tc>
          <w:tcPr>
            <w:tcW w:w="2939" w:type="dxa"/>
            <w:vAlign w:val="center"/>
          </w:tcPr>
          <w:p>
            <w:pPr>
              <w:widowControl/>
              <w:jc w:val="center"/>
              <w:rPr>
                <w:rFonts w:ascii="宋体" w:hAnsi="宋体"/>
                <w:color w:val="000000"/>
                <w:kern w:val="0"/>
              </w:rPr>
            </w:pPr>
          </w:p>
        </w:tc>
      </w:tr>
    </w:tbl>
    <w:p>
      <w:pPr>
        <w:tabs>
          <w:tab w:val="left" w:pos="3718"/>
        </w:tabs>
        <w:jc w:val="left"/>
      </w:pPr>
    </w:p>
    <w:p>
      <w:pPr>
        <w:rPr>
          <w:rFonts w:hint="eastAsia" w:eastAsiaTheme="minorEastAsia"/>
          <w:lang w:eastAsia="zh-CN"/>
        </w:rPr>
      </w:pPr>
    </w:p>
    <w:sectPr>
      <w:pgSz w:w="16838" w:h="11906" w:orient="landscape"/>
      <w:pgMar w:top="907" w:right="1440" w:bottom="851" w:left="1440"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674712-A216-4533-9D66-3D5F48AF9376}"/>
  </w:font>
  <w:font w:name="Arial">
    <w:panose1 w:val="020B0604020202020204"/>
    <w:charset w:val="01"/>
    <w:family w:val="swiss"/>
    <w:pitch w:val="default"/>
    <w:sig w:usb0="E0002EFF" w:usb1="C000785B" w:usb2="00000009" w:usb3="00000000" w:csb0="400001FF" w:csb1="FFFF0000"/>
    <w:embedRegular r:id="rId2" w:fontKey="{DB781528-D2DC-4CE6-B7C8-487E3D895D3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612FC1A-3150-4383-BEC1-21800D3275EC}"/>
  </w:font>
  <w:font w:name="Symbol">
    <w:panose1 w:val="05050102010706020507"/>
    <w:charset w:val="02"/>
    <w:family w:val="roman"/>
    <w:pitch w:val="default"/>
    <w:sig w:usb0="00000000" w:usb1="00000000" w:usb2="00000000" w:usb3="00000000" w:csb0="80000000" w:csb1="00000000"/>
    <w:embedRegular r:id="rId4" w:fontKey="{5280A1EF-2FBD-467B-BE45-AA8C73A8CEC8}"/>
  </w:font>
  <w:font w:name="Calibri">
    <w:panose1 w:val="020F0502020204030204"/>
    <w:charset w:val="00"/>
    <w:family w:val="swiss"/>
    <w:pitch w:val="default"/>
    <w:sig w:usb0="E4002EFF" w:usb1="C000247B" w:usb2="00000009" w:usb3="00000000" w:csb0="200001FF" w:csb1="00000000"/>
    <w:embedRegular r:id="rId5" w:fontKey="{BB812428-1C29-4962-A9D6-0C40F0982E17}"/>
  </w:font>
  <w:font w:name="方正仿宋_GBK">
    <w:panose1 w:val="03000509000000000000"/>
    <w:charset w:val="86"/>
    <w:family w:val="script"/>
    <w:pitch w:val="default"/>
    <w:sig w:usb0="00000000" w:usb1="00000000" w:usb2="00000000" w:usb3="00000000" w:csb0="00000000" w:csb1="00000000"/>
    <w:embedRegular r:id="rId6" w:fontKey="{A8FB05E1-F5C5-4024-B143-5EDDCFCD905F}"/>
  </w:font>
  <w:font w:name="方正黑体_GBK">
    <w:panose1 w:val="03000509000000000000"/>
    <w:charset w:val="86"/>
    <w:family w:val="script"/>
    <w:pitch w:val="default"/>
    <w:sig w:usb0="00000000" w:usb1="00000000" w:usb2="00000000" w:usb3="00000000" w:csb0="00000000" w:csb1="00000000"/>
    <w:embedRegular r:id="rId7" w:fontKey="{944AB37D-E51D-434B-B47F-363775435BC6}"/>
  </w:font>
  <w:font w:name="方正小标宋_GBK">
    <w:panose1 w:val="02000000000000000000"/>
    <w:charset w:val="86"/>
    <w:family w:val="script"/>
    <w:pitch w:val="default"/>
    <w:sig w:usb0="00000000" w:usb1="00000000" w:usb2="00000000" w:usb3="00000000" w:csb0="00000000" w:csb1="00000000"/>
    <w:embedRegular r:id="rId8" w:fontKey="{FFD3BCCC-C17F-4B84-BEC3-112882BF5C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93235"/>
    <w:rsid w:val="0B2C0767"/>
    <w:rsid w:val="1BF93235"/>
    <w:rsid w:val="4B1A766B"/>
    <w:rsid w:val="7FE42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2021-08-04T08:02:00Z</dcterms:created>
  <dc:creator>yang</dc:creator>
  <cp:lastModifiedBy>WPS_1602211081</cp:lastModifiedBy>
  <dcterms:modified xsi:type="dcterms:W3CDTF">2021-08-12T03:11:30Z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04F54402FE8E425D9DB6EC507B8EE912</vt:lpwstr>
  </property>
  <property fmtid="{D5CDD505-2E9C-101B-9397-08002B2CF9AE}" pid="4" name="KSOSaveFontToCloudKey">
    <vt:lpwstr>687974025_embed</vt:lpwstr>
  </property>
</Properties>
</file>