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面向社会公开招聘专业化干部人才硬件条件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评分标准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为保障本次招聘公平公正，特制定本评分标准。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一、原始得分（60分）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符合招聘岗位人选要求，通过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第三方机构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资格审查的人员，初始分值为60分（合格分）。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附加得分（40分）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40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一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从事报考岗位年限得分。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以招聘条件中要求的担任本岗位（相同或类似岗位）年限为起点年限，每增加一年得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分，得满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分为止。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40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（二）学历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学位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得分。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招聘条件中要求的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全日制本科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学历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学士学位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为起点学历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全日制研究生学历得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硕士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学位得3分、博士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学位得5分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得满10分为止。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40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（三）职称得分。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持有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招聘岗位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相关职称的，给予得分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以最高职称级别计算。高级职称初始赋分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分，每拿证一个完整年度得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分，得满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分为止；中级职称初始赋分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分，每拿证一个完整年度得0.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分，得满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分为止；初级职称每拿证一个完整年度得0.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分，得满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分为止。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40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四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）注册类资格证书得分。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考生持与招聘岗位业务相关注册类证书的，给予得分。一级证和高级证得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分，二级证和中级证得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分，同一种证书按最高证书算分，此项最高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分。</w:t>
      </w:r>
    </w:p>
    <w:p>
      <w:pPr>
        <w:spacing w:line="560" w:lineRule="exact"/>
        <w:ind w:left="105" w:leftChars="50" w:firstLine="480" w:firstLineChars="150"/>
        <w:rPr>
          <w:rFonts w:hint="default" w:ascii="Times New Roman" w:hAnsi="Times New Roman" w:eastAsia="仿宋_GB2312" w:cs="Times New Roman"/>
          <w:color w:val="000000"/>
          <w:sz w:val="32"/>
          <w:szCs w:val="40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五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）相关荣誉得分。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取得相关荣誉的，按照国家、省、市级别荣誉称号分别得3、2、1分，得满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</w:rPr>
        <w:t>分为止。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C1178"/>
    <w:multiLevelType w:val="singleLevel"/>
    <w:tmpl w:val="1B5C117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52ABE"/>
    <w:rsid w:val="19692D97"/>
    <w:rsid w:val="2B052ABE"/>
    <w:rsid w:val="2FB77B53"/>
    <w:rsid w:val="356450B8"/>
    <w:rsid w:val="4897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Cs w:val="21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2021-07-29T04:20:00Z</dcterms:created>
  <dc:creator>云淡风轻づ</dc:creator>
  <cp:lastModifiedBy>云淡风轻づ</cp:lastModifiedBy>
  <dcterms:modified xsi:type="dcterms:W3CDTF">2021-07-29T04:20:56Z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C56CC9A3FA8746829FC8FD3CC422D106</vt:lpwstr>
  </property>
</Properties>
</file>