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/>
          <w:bCs/>
          <w:kern w:val="0"/>
          <w:sz w:val="30"/>
          <w:szCs w:val="30"/>
        </w:rPr>
      </w:pPr>
      <w:r>
        <w:rPr>
          <w:rFonts w:ascii="Times New Roman" w:hAnsi="Times New Roman" w:eastAsia="黑体"/>
          <w:bCs/>
          <w:kern w:val="0"/>
          <w:sz w:val="30"/>
          <w:szCs w:val="30"/>
        </w:rPr>
        <w:t>附件1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盐城市残联下属事业单位2021年公开选调人员岗位表</w:t>
      </w:r>
    </w:p>
    <w:bookmarkEnd w:id="0"/>
    <w:p>
      <w:pPr>
        <w:spacing w:line="260" w:lineRule="exact"/>
        <w:jc w:val="center"/>
        <w:rPr>
          <w:rFonts w:ascii="Times New Roman" w:hAnsi="Times New Roman" w:eastAsia="方正仿宋_GBK"/>
          <w:sz w:val="20"/>
          <w:szCs w:val="20"/>
        </w:rPr>
      </w:pPr>
    </w:p>
    <w:tbl>
      <w:tblPr>
        <w:tblStyle w:val="3"/>
        <w:tblW w:w="1565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390"/>
        <w:gridCol w:w="1842"/>
        <w:gridCol w:w="1134"/>
        <w:gridCol w:w="1134"/>
        <w:gridCol w:w="993"/>
        <w:gridCol w:w="992"/>
        <w:gridCol w:w="709"/>
        <w:gridCol w:w="1134"/>
        <w:gridCol w:w="992"/>
        <w:gridCol w:w="3836"/>
        <w:gridCol w:w="9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tblHeader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43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招聘计划数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开考比例</w:t>
            </w:r>
          </w:p>
        </w:tc>
        <w:tc>
          <w:tcPr>
            <w:tcW w:w="68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选调条件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  <w:tblHeader/>
          <w:jc w:val="center"/>
        </w:trPr>
        <w:tc>
          <w:tcPr>
            <w:tcW w:w="5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名  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经费来源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3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其他条件</w:t>
            </w:r>
          </w:p>
        </w:tc>
        <w:tc>
          <w:tcPr>
            <w:tcW w:w="9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黑体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5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001</w:t>
            </w:r>
          </w:p>
        </w:tc>
        <w:tc>
          <w:tcPr>
            <w:tcW w:w="13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盐城市</w:t>
            </w:r>
            <w:r>
              <w:rPr>
                <w:rFonts w:hint="eastAsia" w:ascii="Times New Roman" w:hAnsi="Times New Roman" w:eastAsia="仿宋"/>
                <w:szCs w:val="21"/>
              </w:rPr>
              <w:t>残联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盐城市特殊教育中等专业学校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全额拨款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特教教师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1:3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本科及以上学历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不限</w:t>
            </w:r>
          </w:p>
        </w:tc>
        <w:tc>
          <w:tcPr>
            <w:tcW w:w="38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仿宋"/>
                <w:szCs w:val="21"/>
              </w:rPr>
              <w:t>市特殊教育中等专业学校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须</w:t>
            </w:r>
            <w:r>
              <w:rPr>
                <w:rFonts w:hint="eastAsia" w:ascii="Times New Roman" w:hAnsi="Times New Roman" w:eastAsia="仿宋"/>
                <w:szCs w:val="21"/>
              </w:rPr>
              <w:t>为盐城市范围内全额拨款事业单位在编在岗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教师，</w:t>
            </w:r>
            <w:r>
              <w:rPr>
                <w:rFonts w:hint="eastAsia" w:ascii="Times New Roman" w:hAnsi="Times New Roman" w:eastAsia="仿宋"/>
                <w:szCs w:val="21"/>
              </w:rPr>
              <w:t>须符合下列条件之一：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1．县（市、区）级及以上优秀教育工作者、师德标兵、巾帼标兵、三八红旗手、优秀教师（班主任、辅导员）；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2</w:t>
            </w:r>
            <w:r>
              <w:rPr>
                <w:rFonts w:ascii="Times New Roman" w:hAnsi="Times New Roman" w:eastAsia="仿宋"/>
                <w:szCs w:val="21"/>
              </w:rPr>
              <w:t>.</w:t>
            </w:r>
            <w:r>
              <w:rPr>
                <w:rFonts w:hint="eastAsia" w:ascii="Times New Roman" w:hAnsi="Times New Roman" w:eastAsia="仿宋"/>
                <w:szCs w:val="21"/>
              </w:rPr>
              <w:t>县（市、区）级及以上特殊教育、职业教育学科带头人、教学能手；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Times New Roman" w:hAnsi="Times New Roman" w:eastAsia="仿宋"/>
                <w:sz w:val="16"/>
                <w:szCs w:val="16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3</w:t>
            </w:r>
            <w:r>
              <w:rPr>
                <w:rFonts w:ascii="Times New Roman" w:hAnsi="Times New Roman" w:eastAsia="仿宋"/>
                <w:szCs w:val="21"/>
              </w:rPr>
              <w:t>.</w:t>
            </w:r>
            <w:r>
              <w:rPr>
                <w:rFonts w:hint="eastAsia" w:ascii="Times New Roman" w:hAnsi="Times New Roman" w:eastAsia="仿宋"/>
                <w:szCs w:val="21"/>
              </w:rPr>
              <w:t>县（市、区）级及以上各类赛课和基本功竞赛一等奖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仿宋"/>
                <w:szCs w:val="21"/>
              </w:rPr>
              <w:t>以上，市级及以上各类赛课和基本功竞赛二等奖</w:t>
            </w: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及</w:t>
            </w:r>
            <w:r>
              <w:rPr>
                <w:rFonts w:hint="eastAsia" w:ascii="Times New Roman" w:hAnsi="Times New Roman" w:eastAsia="仿宋"/>
                <w:szCs w:val="21"/>
              </w:rPr>
              <w:t>以上。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心理教师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心理学，应用心理学，心理健康教育</w:t>
            </w:r>
          </w:p>
        </w:tc>
        <w:tc>
          <w:tcPr>
            <w:tcW w:w="38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 w:eastAsia="黑体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5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职教教师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  <w:r>
              <w:rPr>
                <w:rFonts w:hint="eastAsia" w:ascii="Times New Roman" w:hAnsi="Times New Roman" w:eastAsia="仿宋"/>
                <w:szCs w:val="21"/>
              </w:rPr>
              <w:t>不限</w:t>
            </w:r>
          </w:p>
        </w:tc>
        <w:tc>
          <w:tcPr>
            <w:tcW w:w="38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ascii="Times New Roman" w:hAnsi="Times New Roman" w:eastAsia="黑体"/>
                <w:kern w:val="0"/>
                <w:sz w:val="16"/>
                <w:szCs w:val="16"/>
              </w:rPr>
            </w:pPr>
          </w:p>
        </w:tc>
        <w:tc>
          <w:tcPr>
            <w:tcW w:w="9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002</w:t>
            </w:r>
          </w:p>
        </w:tc>
        <w:tc>
          <w:tcPr>
            <w:tcW w:w="13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Times New Roman" w:hAnsi="Times New Roman" w:eastAsia="仿宋"/>
                <w:szCs w:val="21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</w:rPr>
              <w:t>盐城市</w:t>
            </w: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残疾人就业服务中心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ascii="Times New Roman" w:hAnsi="Times New Roman" w:eastAsia="仿宋"/>
                <w:szCs w:val="21"/>
              </w:rPr>
              <w:t>全额拨款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托养中心音乐培训教员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1:3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本科及以上学历，取得相应学位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Cs w:val="21"/>
                <w:lang w:val="en-US" w:eastAsia="zh-CN"/>
              </w:rPr>
              <w:t>音乐学、音乐表演、舞蹈编导、舞蹈表演</w:t>
            </w:r>
          </w:p>
        </w:tc>
        <w:tc>
          <w:tcPr>
            <w:tcW w:w="3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Cs w:val="21"/>
                <w:lang w:eastAsia="zh-CN"/>
              </w:rPr>
              <w:t>现为</w:t>
            </w:r>
            <w:r>
              <w:rPr>
                <w:rFonts w:hint="default" w:ascii="Times New Roman" w:hAnsi="Times New Roman" w:eastAsia="仿宋"/>
                <w:szCs w:val="21"/>
              </w:rPr>
              <w:t>盐城市范围内公务员</w:t>
            </w:r>
            <w:r>
              <w:rPr>
                <w:rFonts w:hint="default" w:ascii="Times New Roman" w:hAnsi="Times New Roman" w:eastAsia="仿宋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"/>
                <w:szCs w:val="21"/>
              </w:rPr>
              <w:t>参照公务员管理事业单位</w:t>
            </w:r>
            <w:r>
              <w:rPr>
                <w:rFonts w:hint="default" w:ascii="Times New Roman" w:hAnsi="Times New Roman" w:eastAsia="仿宋"/>
                <w:szCs w:val="21"/>
                <w:lang w:eastAsia="zh-CN"/>
              </w:rPr>
              <w:t>或</w:t>
            </w:r>
            <w:r>
              <w:rPr>
                <w:rFonts w:hint="default" w:ascii="Times New Roman" w:hAnsi="Times New Roman" w:eastAsia="仿宋"/>
                <w:szCs w:val="21"/>
              </w:rPr>
              <w:t>全额拨款事业单位在编在岗工作人员（工勤人员除外），</w:t>
            </w:r>
            <w:r>
              <w:rPr>
                <w:rFonts w:hint="default" w:ascii="Times New Roman" w:hAnsi="Times New Roman" w:eastAsia="仿宋"/>
                <w:szCs w:val="21"/>
                <w:lang w:val="en-US" w:eastAsia="zh-CN"/>
              </w:rPr>
              <w:t>一经录用，原身份将不再保留。年龄在18周岁以上、35周岁以下（即为1986年7月31日至2003年7月31日期间出生）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" w:cs="Times New Roman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仿宋"/>
                <w:szCs w:val="21"/>
                <w:lang w:val="en-US" w:eastAsia="zh-CN"/>
              </w:rPr>
              <w:t>有五年及以上工作经验（工作经历计算时间截止2021年7月31日）</w:t>
            </w:r>
            <w:r>
              <w:rPr>
                <w:rFonts w:hint="eastAsia" w:ascii="Times New Roman" w:hAnsi="Times New Roman" w:eastAsia="仿宋"/>
                <w:szCs w:val="21"/>
                <w:lang w:val="en-US" w:eastAsia="zh-CN"/>
              </w:rPr>
              <w:t>。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Times New Roman" w:hAnsi="Times New Roman" w:eastAsia="仿宋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7111C"/>
    <w:rsid w:val="4367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2021-07-30T10:06:00Z</dcterms:created>
  <dc:creator>A</dc:creator>
  <cp:lastModifiedBy>A</cp:lastModifiedBy>
  <dcterms:modified xsi:type="dcterms:W3CDTF">2021-07-30T10:08:11Z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57CBA54B71784C039F3A3528355399D9</vt:lpwstr>
  </property>
</Properties>
</file>